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02/07/06-20/00105349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июля 2020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августа 2020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 Минкомсвязь России, Банк России, ФТС  России, ФНС России, Федеральная пробирная палата, Рсфинмониторинг, ФСБ России, МВД России, Минпромторг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"Об утверждении Порядка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и особенностей ее внедрения "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прослеживаемости оборота драгоценных металлов и драгоценных камней на всех этапах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23.06.2020 № 188-ФЗ "О внесении изменений в Федеральный закон "О драгоценных металлах и драгоценных камнях"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устанавливает требования к средствам идентификации, способам их формирования и нанесения, составу  информации, срокам и способам ее предоставления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– ГИИС ДМДК) и ее получения из ГИИС ДМДК, программно-аппаратным средствам участников ГИИС ДМДК, а также порядок взаимодействия ГИИС ДМДК с государственными информационными системами и информационными системами юридических лиц и индивидуальных предпринимателей, осуществляющих операции с драгоценными металлами и драгоценными камнями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внедрение государственной интегрированной информационной системы в сфере контроля за оборотом драгоценных металлов, драгоценных камней 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Беловалова Татьяна Геннадьевна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 913-11-11 доб. (2231)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Tatiana.Belovalova@minfin.ru 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высокой степени регулирующего воздействия, так как 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требования для индивидуальных предпринимателей и юридических лиц в сфере отрасли драгоценных металлов и драгоценных камней.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лишение недобросовестных участников рынка возможности использования нелегальных схем при осуществлении операций с драгоценными металлами и драгоценными камнями в целях создания равных условий работы для добросовестных участников рынка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наличие на рынке драгоценных камней и драгоценных металлов контрабанднй и контрафактной продукции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Согласно статистике 80% нарушений связаны с учетом, хранением и инвентаризацией драгоценных металлов и драгоценных камней, а также недостоверной отчетностью по их движению и чаще всего являются показателями контрафактной и контрабандной деятельности. 
Кроме того, по данным ФСБ России ежегодный ущерб федеральному бюджету от незаконной торговли ювелирными изделиями только в Северо-Кавказском и Южном федеральных округах составляет более 1 млрд. рублей.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     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     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     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     нет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     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обеспечить прослеживаемость движения драгоценных металлов, драгоценных камней и изделий из них на всех этапах их оборота;
лишить недобросовестных участников рынка возможности использования нелегальных схем при осуществление операций с драгоценными металлами и драгоценными камнями в целях создания равных условий для добросовестных участников рынка;
минимизировать количество выездных проверок и повысить эффективность осуществления государственного контроля (надзора) на рынке драгоценных металлов и драгоценных камней;
обеспечить прозрачность контрольной деятельности государства в сфере драгоценных металлов и драгоценных камней;
автоматизировать основные административные процедуры взаимодействия государства и рынка;
обеспечить формирование необходимой отчетности участников рынка в ГИИС ДМДК и перейти на электронный документооборот;
использовать ГИИС ДМДК в качестве основного источника статистической и аналитической информации о рынке драгоценных металлов и драгоценных камней;
защитить интересы потребителей изделий из драгоценных металлов и драгоценных камней посредством создания действенных технических инструментов контроля оборота товаров и использования драгоценных металлов и драгоценных камней.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2021-2023 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(Цель N)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обеспечение прослеживания движения драгоценных металлов и драгоценных камней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защита интересов потребителей, создание равных условий для добросовестных участников рынка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и индивидуальные предприниматели, состоящие на учете, Банк России, коммерческие банки, ФТС  России, ФНС России, Гохран России, Федеральная пробирная палата, Рсфинмониторинг, ФСБ России, МВД России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≈ 35000 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-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обмен информацией с ГИИС ДМДК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представление информации в ГИИС ДМДК, формирование отчетов из ГИИС ДМДК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(N.K)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Индивидуальные предприниматели и юридические лица, коммерческие банки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обмен информацией с ГИИС ДМДК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представление информации в ГИИС ДМДК, получение информации из ГИИС ДМДК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и индивидуальные предприниматели, состоящие на специальном учете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Получение электронной цифровой подписи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Сканеры (при необходимости)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N)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(Цель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N.K)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 дня офиц.опубликования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поэтапность внедрения ГИИС ДМДК																																																																		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https://regulation.gov.ru/projects#npa=105349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июня 2020 г.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июля 2020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А.Ю. Гончаренко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