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CF1C4" w14:textId="77777777" w:rsidR="00A9396E" w:rsidRPr="004760F1" w:rsidRDefault="00512728" w:rsidP="00512728">
      <w:pPr>
        <w:jc w:val="center"/>
        <w:outlineLvl w:val="0"/>
        <w:rPr>
          <w:b/>
          <w:bCs/>
          <w:sz w:val="28"/>
          <w:szCs w:val="28"/>
        </w:rPr>
      </w:pPr>
      <w:r w:rsidRPr="004760F1">
        <w:rPr>
          <w:b/>
          <w:bCs/>
          <w:sz w:val="28"/>
          <w:szCs w:val="28"/>
        </w:rPr>
        <w:t>СВОДКА</w:t>
      </w:r>
    </w:p>
    <w:p w14:paraId="0173D602" w14:textId="1C91A90D" w:rsidR="00A9396E" w:rsidRPr="004760F1" w:rsidRDefault="00512728">
      <w:pPr>
        <w:jc w:val="center"/>
        <w:rPr>
          <w:sz w:val="28"/>
          <w:szCs w:val="28"/>
        </w:rPr>
      </w:pPr>
      <w:r w:rsidRPr="004760F1">
        <w:rPr>
          <w:b/>
          <w:bCs/>
          <w:sz w:val="28"/>
          <w:szCs w:val="28"/>
        </w:rPr>
        <w:t xml:space="preserve">предложений по итогам размещения </w:t>
      </w:r>
      <w:bookmarkStart w:id="0" w:name="OLE_LINK2"/>
      <w:bookmarkStart w:id="1" w:name="OLE_LINK1"/>
      <w:r w:rsidRPr="004760F1">
        <w:rPr>
          <w:b/>
          <w:bCs/>
          <w:sz w:val="28"/>
          <w:szCs w:val="28"/>
        </w:rPr>
        <w:t>текста проекта</w:t>
      </w:r>
      <w:bookmarkEnd w:id="0"/>
      <w:bookmarkEnd w:id="1"/>
      <w:r w:rsidRPr="004760F1">
        <w:rPr>
          <w:sz w:val="28"/>
          <w:szCs w:val="28"/>
        </w:rPr>
        <w:t xml:space="preserve"> </w:t>
      </w:r>
      <w:r w:rsidRPr="004760F1">
        <w:rPr>
          <w:b/>
          <w:bCs/>
          <w:sz w:val="28"/>
          <w:szCs w:val="28"/>
        </w:rPr>
        <w:t xml:space="preserve">нормативного правового акта </w:t>
      </w:r>
    </w:p>
    <w:p w14:paraId="53E5AA1F" w14:textId="77777777" w:rsidR="00A9396E" w:rsidRPr="00FB4717" w:rsidRDefault="00A9396E">
      <w:pPr>
        <w:jc w:val="center"/>
      </w:pPr>
    </w:p>
    <w:p w14:paraId="2CBC4539" w14:textId="77777777" w:rsidR="00A9396E" w:rsidRPr="00FB4717" w:rsidRDefault="00A9396E" w:rsidP="00512728"/>
    <w:p w14:paraId="4DB87878" w14:textId="44DB9E3E" w:rsidR="00A9396E" w:rsidRPr="004760F1" w:rsidRDefault="00512728" w:rsidP="00512728">
      <w:pPr>
        <w:outlineLvl w:val="0"/>
      </w:pPr>
      <w:r w:rsidRPr="00FB4717">
        <w:t xml:space="preserve">Наименование проекта: </w:t>
      </w:r>
      <w:r w:rsidR="00732678" w:rsidRPr="00732678">
        <w:rPr>
          <w:b/>
        </w:rPr>
        <w:t>проект постановления Правительства Российской Федерации «О внесении изменений в постановление Правительства Российской Федерации от 26 февраля 2021 г. № 270»</w:t>
      </w:r>
    </w:p>
    <w:p w14:paraId="38F2687D" w14:textId="7983943F" w:rsidR="00A9396E" w:rsidRPr="004760F1" w:rsidRDefault="00512728">
      <w:r w:rsidRPr="00FB4717">
        <w:rPr>
          <w:lang w:val="en-US"/>
        </w:rPr>
        <w:t>ID</w:t>
      </w:r>
      <w:r w:rsidRPr="00FB4717">
        <w:t xml:space="preserve"> проекта: </w:t>
      </w:r>
      <w:r w:rsidR="0096140A" w:rsidRPr="0096140A">
        <w:rPr>
          <w:b/>
        </w:rPr>
        <w:t>02/07/01-24/00145209</w:t>
      </w:r>
    </w:p>
    <w:p w14:paraId="469F5588" w14:textId="5E575587" w:rsidR="00A9396E" w:rsidRPr="00FB4717" w:rsidRDefault="00512728">
      <w:r w:rsidRPr="00FB4717">
        <w:t xml:space="preserve">Даты проведения публичного обсуждения: </w:t>
      </w:r>
      <w:r w:rsidR="0096140A" w:rsidRPr="0096140A">
        <w:rPr>
          <w:b/>
        </w:rPr>
        <w:t>22.04.2024 – 03.05.2024</w:t>
      </w:r>
    </w:p>
    <w:p w14:paraId="0380841B" w14:textId="77777777" w:rsidR="00FB4717" w:rsidRPr="00FB4717" w:rsidRDefault="00FB4717"/>
    <w:tbl>
      <w:tblPr>
        <w:tblW w:w="52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576"/>
        <w:gridCol w:w="7216"/>
        <w:gridCol w:w="2659"/>
        <w:gridCol w:w="5268"/>
        <w:gridCol w:w="16"/>
      </w:tblGrid>
      <w:tr w:rsidR="003D55EF" w:rsidRPr="00FB4717" w14:paraId="7F2FCB6B" w14:textId="77777777" w:rsidTr="00094368">
        <w:trPr>
          <w:gridAfter w:val="1"/>
          <w:wAfter w:w="5" w:type="pct"/>
          <w:tblHeader/>
          <w:jc w:val="center"/>
        </w:trPr>
        <w:tc>
          <w:tcPr>
            <w:tcW w:w="183" w:type="pct"/>
            <w:tcMar>
              <w:top w:w="102" w:type="dxa"/>
              <w:left w:w="62" w:type="dxa"/>
              <w:bottom w:w="102" w:type="dxa"/>
              <w:right w:w="62" w:type="dxa"/>
            </w:tcMar>
          </w:tcPr>
          <w:p w14:paraId="21F03D94" w14:textId="77777777" w:rsidR="00FB4717" w:rsidRPr="00FB4717" w:rsidRDefault="00FB4717" w:rsidP="00F60CF8">
            <w:pPr>
              <w:widowControl w:val="0"/>
              <w:autoSpaceDE w:val="0"/>
              <w:autoSpaceDN w:val="0"/>
              <w:adjustRightInd w:val="0"/>
              <w:jc w:val="center"/>
            </w:pPr>
            <w:r w:rsidRPr="00FB4717">
              <w:t>№ п/п</w:t>
            </w:r>
          </w:p>
        </w:tc>
        <w:tc>
          <w:tcPr>
            <w:tcW w:w="2293" w:type="pct"/>
            <w:tcMar>
              <w:top w:w="102" w:type="dxa"/>
              <w:left w:w="62" w:type="dxa"/>
              <w:bottom w:w="102" w:type="dxa"/>
              <w:right w:w="62" w:type="dxa"/>
            </w:tcMar>
          </w:tcPr>
          <w:p w14:paraId="18771ABA" w14:textId="4823BDDC" w:rsidR="00FB4717" w:rsidRPr="003D55EF" w:rsidRDefault="00FB4717" w:rsidP="00F60CF8">
            <w:pPr>
              <w:widowControl w:val="0"/>
              <w:autoSpaceDE w:val="0"/>
              <w:autoSpaceDN w:val="0"/>
              <w:adjustRightInd w:val="0"/>
              <w:jc w:val="center"/>
            </w:pPr>
            <w:r w:rsidRPr="003D55EF">
              <w:t xml:space="preserve">Предложения, поступившие в связи с проведением публичного обсуждения проекта нормативного правового акта, сводного отчета </w:t>
            </w:r>
          </w:p>
        </w:tc>
        <w:tc>
          <w:tcPr>
            <w:tcW w:w="845" w:type="pct"/>
          </w:tcPr>
          <w:p w14:paraId="2C4921BF" w14:textId="77777777" w:rsidR="00FB4717" w:rsidRPr="00FB4717" w:rsidRDefault="00FB4717" w:rsidP="00F60CF8">
            <w:pPr>
              <w:widowControl w:val="0"/>
              <w:autoSpaceDE w:val="0"/>
              <w:autoSpaceDN w:val="0"/>
              <w:adjustRightInd w:val="0"/>
              <w:jc w:val="center"/>
            </w:pPr>
            <w:r w:rsidRPr="00FB4717">
              <w:t>Результат рассмотрения поступивших замечаний и предложений</w:t>
            </w:r>
          </w:p>
        </w:tc>
        <w:tc>
          <w:tcPr>
            <w:tcW w:w="1674" w:type="pct"/>
            <w:tcMar>
              <w:top w:w="102" w:type="dxa"/>
              <w:left w:w="62" w:type="dxa"/>
              <w:bottom w:w="102" w:type="dxa"/>
              <w:right w:w="62" w:type="dxa"/>
            </w:tcMar>
          </w:tcPr>
          <w:p w14:paraId="0CA05D81" w14:textId="77777777" w:rsidR="00FB4717" w:rsidRPr="00FB4717" w:rsidRDefault="00FB4717" w:rsidP="00F60CF8">
            <w:pPr>
              <w:widowControl w:val="0"/>
              <w:autoSpaceDE w:val="0"/>
              <w:autoSpaceDN w:val="0"/>
              <w:adjustRightInd w:val="0"/>
              <w:jc w:val="center"/>
            </w:pPr>
            <w:r w:rsidRPr="00FB4717">
              <w:t>Позиция Министерства финансов Российской Федерации (комментарий)</w:t>
            </w:r>
          </w:p>
        </w:tc>
      </w:tr>
      <w:tr w:rsidR="00FB4717" w:rsidRPr="00FB4717" w14:paraId="47D36A27" w14:textId="77777777" w:rsidTr="00094368">
        <w:trPr>
          <w:trHeight w:val="397"/>
          <w:jc w:val="center"/>
        </w:trPr>
        <w:tc>
          <w:tcPr>
            <w:tcW w:w="183" w:type="pct"/>
            <w:tcMar>
              <w:top w:w="102" w:type="dxa"/>
              <w:left w:w="62" w:type="dxa"/>
              <w:bottom w:w="102" w:type="dxa"/>
              <w:right w:w="62" w:type="dxa"/>
            </w:tcMar>
          </w:tcPr>
          <w:p w14:paraId="679BB27E" w14:textId="77777777" w:rsidR="00FB4717" w:rsidRPr="00FB4717" w:rsidRDefault="00FB4717" w:rsidP="00F60CF8">
            <w:pPr>
              <w:widowControl w:val="0"/>
              <w:autoSpaceDE w:val="0"/>
              <w:autoSpaceDN w:val="0"/>
              <w:adjustRightInd w:val="0"/>
              <w:jc w:val="center"/>
              <w:rPr>
                <w:b/>
                <w:bCs/>
              </w:rPr>
            </w:pPr>
            <w:r w:rsidRPr="00FB4717">
              <w:rPr>
                <w:b/>
                <w:bCs/>
              </w:rPr>
              <w:t>1.</w:t>
            </w:r>
          </w:p>
        </w:tc>
        <w:tc>
          <w:tcPr>
            <w:tcW w:w="4817" w:type="pct"/>
            <w:gridSpan w:val="4"/>
            <w:tcMar>
              <w:top w:w="102" w:type="dxa"/>
              <w:left w:w="62" w:type="dxa"/>
              <w:bottom w:w="102" w:type="dxa"/>
              <w:right w:w="62" w:type="dxa"/>
            </w:tcMar>
          </w:tcPr>
          <w:p w14:paraId="5B1B77E5" w14:textId="77777777" w:rsidR="00FB4717" w:rsidRPr="00FB4717" w:rsidRDefault="00FB4717" w:rsidP="00FB4717">
            <w:pPr>
              <w:widowControl w:val="0"/>
              <w:autoSpaceDE w:val="0"/>
              <w:autoSpaceDN w:val="0"/>
              <w:adjustRightInd w:val="0"/>
              <w:jc w:val="center"/>
              <w:rPr>
                <w:b/>
                <w:bCs/>
              </w:rPr>
            </w:pPr>
            <w:r w:rsidRPr="00FB4717">
              <w:rPr>
                <w:b/>
                <w:bCs/>
              </w:rPr>
              <w:t>Какое влияние на социально-экономическое развитие субъектов Российской Федерации может оказать предлагаемое регулирование?</w:t>
            </w:r>
          </w:p>
        </w:tc>
      </w:tr>
      <w:tr w:rsidR="00B42346" w:rsidRPr="00FB4717" w14:paraId="45FBC786" w14:textId="77777777" w:rsidTr="00094368">
        <w:trPr>
          <w:gridAfter w:val="1"/>
          <w:wAfter w:w="5" w:type="pct"/>
          <w:trHeight w:val="333"/>
          <w:jc w:val="center"/>
        </w:trPr>
        <w:tc>
          <w:tcPr>
            <w:tcW w:w="183" w:type="pct"/>
            <w:tcMar>
              <w:top w:w="102" w:type="dxa"/>
              <w:left w:w="62" w:type="dxa"/>
              <w:bottom w:w="102" w:type="dxa"/>
              <w:right w:w="62" w:type="dxa"/>
            </w:tcMar>
          </w:tcPr>
          <w:p w14:paraId="149C2B78" w14:textId="77777777" w:rsidR="00B42346" w:rsidRPr="00FB4717" w:rsidRDefault="00B42346" w:rsidP="00B42346">
            <w:pPr>
              <w:widowControl w:val="0"/>
              <w:autoSpaceDE w:val="0"/>
              <w:autoSpaceDN w:val="0"/>
              <w:adjustRightInd w:val="0"/>
              <w:jc w:val="center"/>
            </w:pPr>
            <w:r w:rsidRPr="00FB4717">
              <w:t>1.1.</w:t>
            </w:r>
          </w:p>
        </w:tc>
        <w:tc>
          <w:tcPr>
            <w:tcW w:w="2293" w:type="pct"/>
            <w:tcMar>
              <w:top w:w="102" w:type="dxa"/>
              <w:left w:w="62" w:type="dxa"/>
              <w:bottom w:w="102" w:type="dxa"/>
              <w:right w:w="62" w:type="dxa"/>
            </w:tcMar>
            <w:vAlign w:val="center"/>
          </w:tcPr>
          <w:p w14:paraId="1301B4E9" w14:textId="1980A380" w:rsidR="00B42346" w:rsidRPr="00FB4717" w:rsidRDefault="00B42346" w:rsidP="00B42346">
            <w:pPr>
              <w:jc w:val="center"/>
            </w:pPr>
            <w:r>
              <w:t>-</w:t>
            </w:r>
          </w:p>
        </w:tc>
        <w:tc>
          <w:tcPr>
            <w:tcW w:w="845" w:type="pct"/>
          </w:tcPr>
          <w:p w14:paraId="43861886" w14:textId="38D80B9B" w:rsidR="00B42346" w:rsidRPr="00FB4717" w:rsidRDefault="00B42346" w:rsidP="00B42346">
            <w:pPr>
              <w:widowControl w:val="0"/>
              <w:autoSpaceDE w:val="0"/>
              <w:autoSpaceDN w:val="0"/>
              <w:adjustRightInd w:val="0"/>
              <w:ind w:left="111"/>
              <w:jc w:val="center"/>
            </w:pPr>
            <w:r w:rsidRPr="00A4281F">
              <w:t>-</w:t>
            </w:r>
          </w:p>
        </w:tc>
        <w:tc>
          <w:tcPr>
            <w:tcW w:w="1674" w:type="pct"/>
            <w:tcMar>
              <w:top w:w="102" w:type="dxa"/>
              <w:left w:w="62" w:type="dxa"/>
              <w:bottom w:w="102" w:type="dxa"/>
              <w:right w:w="62" w:type="dxa"/>
            </w:tcMar>
          </w:tcPr>
          <w:p w14:paraId="0A67AA45" w14:textId="53420E93" w:rsidR="00B42346" w:rsidRPr="00FB4717" w:rsidRDefault="00B42346" w:rsidP="00B42346">
            <w:pPr>
              <w:pStyle w:val="ConsPlusNormal"/>
              <w:ind w:left="-392" w:firstLine="444"/>
              <w:jc w:val="center"/>
              <w:rPr>
                <w:rFonts w:ascii="Times New Roman" w:hAnsi="Times New Roman" w:cs="Times New Roman"/>
                <w:sz w:val="24"/>
                <w:szCs w:val="24"/>
                <w:lang w:eastAsia="en-US"/>
              </w:rPr>
            </w:pPr>
            <w:r w:rsidRPr="00A4281F">
              <w:t>-</w:t>
            </w:r>
          </w:p>
        </w:tc>
      </w:tr>
      <w:tr w:rsidR="00FB4717" w:rsidRPr="00FB4717" w14:paraId="0B654D87" w14:textId="77777777" w:rsidTr="00094368">
        <w:trPr>
          <w:trHeight w:val="147"/>
          <w:jc w:val="center"/>
        </w:trPr>
        <w:tc>
          <w:tcPr>
            <w:tcW w:w="183" w:type="pct"/>
            <w:tcMar>
              <w:top w:w="102" w:type="dxa"/>
              <w:left w:w="62" w:type="dxa"/>
              <w:bottom w:w="102" w:type="dxa"/>
              <w:right w:w="62" w:type="dxa"/>
            </w:tcMar>
          </w:tcPr>
          <w:p w14:paraId="21271CDB" w14:textId="77777777" w:rsidR="00FB4717" w:rsidRPr="00FB4717" w:rsidRDefault="00FB4717" w:rsidP="00F60CF8">
            <w:pPr>
              <w:widowControl w:val="0"/>
              <w:autoSpaceDE w:val="0"/>
              <w:autoSpaceDN w:val="0"/>
              <w:adjustRightInd w:val="0"/>
              <w:jc w:val="center"/>
              <w:rPr>
                <w:b/>
                <w:bCs/>
              </w:rPr>
            </w:pPr>
            <w:r w:rsidRPr="00FB4717">
              <w:rPr>
                <w:b/>
                <w:bCs/>
              </w:rPr>
              <w:t xml:space="preserve">2. </w:t>
            </w:r>
          </w:p>
        </w:tc>
        <w:tc>
          <w:tcPr>
            <w:tcW w:w="4817" w:type="pct"/>
            <w:gridSpan w:val="4"/>
            <w:tcMar>
              <w:top w:w="102" w:type="dxa"/>
              <w:left w:w="62" w:type="dxa"/>
              <w:bottom w:w="102" w:type="dxa"/>
              <w:right w:w="62" w:type="dxa"/>
            </w:tcMar>
            <w:vAlign w:val="center"/>
          </w:tcPr>
          <w:p w14:paraId="748AC99C" w14:textId="77777777" w:rsidR="00FB4717" w:rsidRPr="00FB4717" w:rsidRDefault="00FB4717" w:rsidP="00B42346">
            <w:pPr>
              <w:widowControl w:val="0"/>
              <w:autoSpaceDE w:val="0"/>
              <w:autoSpaceDN w:val="0"/>
              <w:adjustRightInd w:val="0"/>
              <w:jc w:val="center"/>
              <w:rPr>
                <w:b/>
                <w:bCs/>
              </w:rPr>
            </w:pPr>
            <w:r w:rsidRPr="00FB4717">
              <w:rPr>
                <w:b/>
                <w:bCs/>
              </w:rPr>
              <w:t>Повлияет ли принятие проекта НПА на расходные обязательства субъектов Российской Федерации?</w:t>
            </w:r>
          </w:p>
        </w:tc>
      </w:tr>
      <w:tr w:rsidR="00B42346" w:rsidRPr="00FB4717" w14:paraId="68548EBC" w14:textId="77777777" w:rsidTr="00094368">
        <w:trPr>
          <w:gridAfter w:val="1"/>
          <w:wAfter w:w="5" w:type="pct"/>
          <w:trHeight w:val="147"/>
          <w:jc w:val="center"/>
        </w:trPr>
        <w:tc>
          <w:tcPr>
            <w:tcW w:w="183" w:type="pct"/>
            <w:tcMar>
              <w:top w:w="102" w:type="dxa"/>
              <w:left w:w="62" w:type="dxa"/>
              <w:bottom w:w="102" w:type="dxa"/>
              <w:right w:w="62" w:type="dxa"/>
            </w:tcMar>
          </w:tcPr>
          <w:p w14:paraId="485BDE3A" w14:textId="77777777" w:rsidR="00B42346" w:rsidRPr="00FB4717" w:rsidRDefault="00B42346" w:rsidP="00B42346">
            <w:pPr>
              <w:widowControl w:val="0"/>
              <w:autoSpaceDE w:val="0"/>
              <w:autoSpaceDN w:val="0"/>
              <w:adjustRightInd w:val="0"/>
              <w:jc w:val="center"/>
            </w:pPr>
            <w:r w:rsidRPr="00FB4717">
              <w:t>2.1.</w:t>
            </w:r>
          </w:p>
        </w:tc>
        <w:tc>
          <w:tcPr>
            <w:tcW w:w="2293" w:type="pct"/>
            <w:tcMar>
              <w:top w:w="102" w:type="dxa"/>
              <w:left w:w="62" w:type="dxa"/>
              <w:bottom w:w="102" w:type="dxa"/>
              <w:right w:w="62" w:type="dxa"/>
            </w:tcMar>
          </w:tcPr>
          <w:p w14:paraId="6B0A3ADB" w14:textId="2D47A589" w:rsidR="00B42346" w:rsidRPr="00FB4717" w:rsidRDefault="00B42346" w:rsidP="00B42346">
            <w:pPr>
              <w:jc w:val="center"/>
            </w:pPr>
            <w:r w:rsidRPr="008F2266">
              <w:t>-</w:t>
            </w:r>
          </w:p>
        </w:tc>
        <w:tc>
          <w:tcPr>
            <w:tcW w:w="845" w:type="pct"/>
          </w:tcPr>
          <w:p w14:paraId="0280D00F" w14:textId="30A63F0E" w:rsidR="00B42346" w:rsidRPr="00FB4717" w:rsidRDefault="00B42346" w:rsidP="00B42346">
            <w:pPr>
              <w:widowControl w:val="0"/>
              <w:autoSpaceDE w:val="0"/>
              <w:autoSpaceDN w:val="0"/>
              <w:adjustRightInd w:val="0"/>
              <w:ind w:left="111"/>
              <w:jc w:val="center"/>
            </w:pPr>
            <w:r w:rsidRPr="008F2266">
              <w:t>-</w:t>
            </w:r>
          </w:p>
        </w:tc>
        <w:tc>
          <w:tcPr>
            <w:tcW w:w="1674" w:type="pct"/>
            <w:tcMar>
              <w:top w:w="102" w:type="dxa"/>
              <w:left w:w="62" w:type="dxa"/>
              <w:bottom w:w="102" w:type="dxa"/>
              <w:right w:w="62" w:type="dxa"/>
            </w:tcMar>
          </w:tcPr>
          <w:p w14:paraId="22BA8387" w14:textId="74CDBE18" w:rsidR="00B42346" w:rsidRPr="00FB4717" w:rsidRDefault="00B42346" w:rsidP="00B42346">
            <w:pPr>
              <w:pStyle w:val="ConsPlusNormal"/>
              <w:ind w:left="-392" w:firstLine="444"/>
              <w:jc w:val="center"/>
              <w:rPr>
                <w:rFonts w:ascii="Times New Roman" w:hAnsi="Times New Roman" w:cs="Times New Roman"/>
                <w:sz w:val="24"/>
                <w:szCs w:val="24"/>
                <w:lang w:val="en-US"/>
              </w:rPr>
            </w:pPr>
            <w:r w:rsidRPr="008F2266">
              <w:t>-</w:t>
            </w:r>
          </w:p>
        </w:tc>
      </w:tr>
      <w:tr w:rsidR="00FB4717" w:rsidRPr="00FB4717" w14:paraId="271B0531" w14:textId="77777777" w:rsidTr="00094368">
        <w:trPr>
          <w:trHeight w:val="147"/>
          <w:jc w:val="center"/>
        </w:trPr>
        <w:tc>
          <w:tcPr>
            <w:tcW w:w="183" w:type="pct"/>
            <w:tcMar>
              <w:top w:w="102" w:type="dxa"/>
              <w:left w:w="62" w:type="dxa"/>
              <w:bottom w:w="102" w:type="dxa"/>
              <w:right w:w="62" w:type="dxa"/>
            </w:tcMar>
          </w:tcPr>
          <w:p w14:paraId="1A10F32F" w14:textId="77777777" w:rsidR="00FB4717" w:rsidRPr="00FB4717" w:rsidRDefault="00FB4717" w:rsidP="00F60CF8">
            <w:pPr>
              <w:widowControl w:val="0"/>
              <w:autoSpaceDE w:val="0"/>
              <w:autoSpaceDN w:val="0"/>
              <w:adjustRightInd w:val="0"/>
              <w:jc w:val="center"/>
              <w:rPr>
                <w:b/>
                <w:bCs/>
              </w:rPr>
            </w:pPr>
            <w:r w:rsidRPr="00FB4717">
              <w:rPr>
                <w:b/>
                <w:bCs/>
              </w:rPr>
              <w:t>3.</w:t>
            </w:r>
          </w:p>
        </w:tc>
        <w:tc>
          <w:tcPr>
            <w:tcW w:w="4817" w:type="pct"/>
            <w:gridSpan w:val="4"/>
            <w:tcMar>
              <w:top w:w="102" w:type="dxa"/>
              <w:left w:w="62" w:type="dxa"/>
              <w:bottom w:w="102" w:type="dxa"/>
              <w:right w:w="62" w:type="dxa"/>
            </w:tcMar>
            <w:vAlign w:val="center"/>
          </w:tcPr>
          <w:p w14:paraId="174E04CE" w14:textId="77777777" w:rsidR="00FB4717" w:rsidRPr="00FB4717" w:rsidRDefault="00FB4717" w:rsidP="00B42346">
            <w:pPr>
              <w:pStyle w:val="ConsPlusNormal"/>
              <w:ind w:firstLine="444"/>
              <w:jc w:val="center"/>
              <w:rPr>
                <w:rFonts w:ascii="Times New Roman" w:hAnsi="Times New Roman" w:cs="Times New Roman"/>
                <w:b/>
                <w:bCs/>
                <w:sz w:val="24"/>
                <w:szCs w:val="24"/>
              </w:rPr>
            </w:pPr>
            <w:r w:rsidRPr="00FB4717">
              <w:rPr>
                <w:rFonts w:ascii="Times New Roman" w:hAnsi="Times New Roman" w:cs="Times New Roman"/>
                <w:b/>
                <w:bCs/>
                <w:sz w:val="24"/>
                <w:szCs w:val="24"/>
              </w:rPr>
              <w:t>Является ли предлагаемое регулирование оптимальным способом решения проблемы?</w:t>
            </w:r>
          </w:p>
        </w:tc>
      </w:tr>
      <w:tr w:rsidR="00B42346" w:rsidRPr="00FB4717" w14:paraId="43F063D1" w14:textId="77777777" w:rsidTr="00094368">
        <w:trPr>
          <w:gridAfter w:val="1"/>
          <w:wAfter w:w="5" w:type="pct"/>
          <w:trHeight w:val="147"/>
          <w:jc w:val="center"/>
        </w:trPr>
        <w:tc>
          <w:tcPr>
            <w:tcW w:w="183" w:type="pct"/>
            <w:tcMar>
              <w:top w:w="102" w:type="dxa"/>
              <w:left w:w="62" w:type="dxa"/>
              <w:bottom w:w="102" w:type="dxa"/>
              <w:right w:w="62" w:type="dxa"/>
            </w:tcMar>
          </w:tcPr>
          <w:p w14:paraId="52A2DEAC" w14:textId="77777777" w:rsidR="00B42346" w:rsidRPr="00FB4717" w:rsidRDefault="00B42346" w:rsidP="00B42346">
            <w:pPr>
              <w:widowControl w:val="0"/>
              <w:autoSpaceDE w:val="0"/>
              <w:autoSpaceDN w:val="0"/>
              <w:adjustRightInd w:val="0"/>
              <w:jc w:val="center"/>
            </w:pPr>
            <w:r w:rsidRPr="00FB4717">
              <w:t>3.1.</w:t>
            </w:r>
          </w:p>
        </w:tc>
        <w:tc>
          <w:tcPr>
            <w:tcW w:w="2293" w:type="pct"/>
            <w:tcMar>
              <w:top w:w="102" w:type="dxa"/>
              <w:left w:w="62" w:type="dxa"/>
              <w:bottom w:w="102" w:type="dxa"/>
              <w:right w:w="62" w:type="dxa"/>
            </w:tcMar>
          </w:tcPr>
          <w:p w14:paraId="791A281E" w14:textId="00E0618D" w:rsidR="00B42346" w:rsidRPr="00FB4717" w:rsidRDefault="00B42346" w:rsidP="00B42346">
            <w:pPr>
              <w:jc w:val="center"/>
            </w:pPr>
            <w:r w:rsidRPr="00DE7DC5">
              <w:t>-</w:t>
            </w:r>
          </w:p>
        </w:tc>
        <w:tc>
          <w:tcPr>
            <w:tcW w:w="845" w:type="pct"/>
          </w:tcPr>
          <w:p w14:paraId="7B820779" w14:textId="3B0B08A2" w:rsidR="00B42346" w:rsidRPr="00FB4717" w:rsidRDefault="00B42346" w:rsidP="00B42346">
            <w:pPr>
              <w:widowControl w:val="0"/>
              <w:autoSpaceDE w:val="0"/>
              <w:autoSpaceDN w:val="0"/>
              <w:adjustRightInd w:val="0"/>
              <w:ind w:left="111"/>
              <w:jc w:val="center"/>
            </w:pPr>
            <w:r w:rsidRPr="00DE7DC5">
              <w:t>-</w:t>
            </w:r>
          </w:p>
        </w:tc>
        <w:tc>
          <w:tcPr>
            <w:tcW w:w="1674" w:type="pct"/>
            <w:tcMar>
              <w:top w:w="102" w:type="dxa"/>
              <w:left w:w="62" w:type="dxa"/>
              <w:bottom w:w="102" w:type="dxa"/>
              <w:right w:w="62" w:type="dxa"/>
            </w:tcMar>
          </w:tcPr>
          <w:p w14:paraId="4665A178" w14:textId="3157015A" w:rsidR="00B42346" w:rsidRPr="00FB4717" w:rsidRDefault="00B42346" w:rsidP="00B42346">
            <w:pPr>
              <w:pStyle w:val="ConsPlusNormal"/>
              <w:ind w:firstLine="0"/>
              <w:jc w:val="center"/>
              <w:rPr>
                <w:rFonts w:ascii="Times New Roman" w:hAnsi="Times New Roman" w:cs="Times New Roman"/>
                <w:sz w:val="24"/>
                <w:szCs w:val="24"/>
                <w:lang w:val="en-US"/>
              </w:rPr>
            </w:pPr>
            <w:r w:rsidRPr="00DE7DC5">
              <w:t>-</w:t>
            </w:r>
          </w:p>
        </w:tc>
      </w:tr>
      <w:tr w:rsidR="00FB4717" w:rsidRPr="00FB4717" w14:paraId="1CA41FC4" w14:textId="77777777" w:rsidTr="00094368">
        <w:trPr>
          <w:trHeight w:val="154"/>
          <w:jc w:val="center"/>
        </w:trPr>
        <w:tc>
          <w:tcPr>
            <w:tcW w:w="183" w:type="pct"/>
            <w:tcMar>
              <w:top w:w="102" w:type="dxa"/>
              <w:left w:w="62" w:type="dxa"/>
              <w:bottom w:w="102" w:type="dxa"/>
              <w:right w:w="62" w:type="dxa"/>
            </w:tcMar>
          </w:tcPr>
          <w:p w14:paraId="7A854361" w14:textId="77777777" w:rsidR="00FB4717" w:rsidRPr="00FB4717" w:rsidRDefault="00FB4717" w:rsidP="00FB4717">
            <w:pPr>
              <w:widowControl w:val="0"/>
              <w:autoSpaceDE w:val="0"/>
              <w:autoSpaceDN w:val="0"/>
              <w:adjustRightInd w:val="0"/>
              <w:jc w:val="center"/>
              <w:rPr>
                <w:b/>
                <w:bCs/>
              </w:rPr>
            </w:pPr>
            <w:r w:rsidRPr="00FB4717">
              <w:rPr>
                <w:b/>
                <w:bCs/>
              </w:rPr>
              <w:t>4.</w:t>
            </w:r>
          </w:p>
        </w:tc>
        <w:tc>
          <w:tcPr>
            <w:tcW w:w="4817" w:type="pct"/>
            <w:gridSpan w:val="4"/>
            <w:tcMar>
              <w:top w:w="102" w:type="dxa"/>
              <w:left w:w="62" w:type="dxa"/>
              <w:bottom w:w="102" w:type="dxa"/>
              <w:right w:w="62" w:type="dxa"/>
            </w:tcMar>
            <w:vAlign w:val="center"/>
          </w:tcPr>
          <w:p w14:paraId="6576E10A" w14:textId="77777777" w:rsidR="00FB4717" w:rsidRPr="00FB4717" w:rsidRDefault="00FB4717" w:rsidP="00B42346">
            <w:pPr>
              <w:pStyle w:val="ConsPlusNormal"/>
              <w:ind w:firstLine="444"/>
              <w:jc w:val="center"/>
              <w:rPr>
                <w:rFonts w:ascii="Times New Roman" w:hAnsi="Times New Roman" w:cs="Times New Roman"/>
                <w:b/>
                <w:bCs/>
                <w:sz w:val="24"/>
                <w:szCs w:val="24"/>
              </w:rPr>
            </w:pPr>
            <w:r w:rsidRPr="00FB4717">
              <w:rPr>
                <w:rFonts w:ascii="Times New Roman" w:hAnsi="Times New Roman" w:cs="Times New Roman"/>
                <w:b/>
                <w:bCs/>
                <w:sz w:val="24"/>
                <w:szCs w:val="24"/>
              </w:rPr>
              <w:t>Какие риски и негативные последствия могут возникнуть в случае принятия предлагаемого регулирования?</w:t>
            </w:r>
          </w:p>
        </w:tc>
      </w:tr>
      <w:tr w:rsidR="00B42346" w:rsidRPr="00FB4717" w14:paraId="0B3CE057" w14:textId="77777777" w:rsidTr="00094368">
        <w:trPr>
          <w:gridAfter w:val="1"/>
          <w:wAfter w:w="5" w:type="pct"/>
          <w:trHeight w:val="147"/>
          <w:jc w:val="center"/>
        </w:trPr>
        <w:tc>
          <w:tcPr>
            <w:tcW w:w="183" w:type="pct"/>
            <w:tcMar>
              <w:top w:w="102" w:type="dxa"/>
              <w:left w:w="62" w:type="dxa"/>
              <w:bottom w:w="102" w:type="dxa"/>
              <w:right w:w="62" w:type="dxa"/>
            </w:tcMar>
          </w:tcPr>
          <w:p w14:paraId="5F636197" w14:textId="77777777" w:rsidR="00B42346" w:rsidRPr="00FB4717" w:rsidRDefault="00B42346" w:rsidP="00B42346">
            <w:pPr>
              <w:widowControl w:val="0"/>
              <w:autoSpaceDE w:val="0"/>
              <w:autoSpaceDN w:val="0"/>
              <w:adjustRightInd w:val="0"/>
              <w:jc w:val="center"/>
            </w:pPr>
            <w:r w:rsidRPr="00FB4717">
              <w:t>4.1.</w:t>
            </w:r>
          </w:p>
        </w:tc>
        <w:tc>
          <w:tcPr>
            <w:tcW w:w="2293" w:type="pct"/>
            <w:tcMar>
              <w:top w:w="102" w:type="dxa"/>
              <w:left w:w="62" w:type="dxa"/>
              <w:bottom w:w="102" w:type="dxa"/>
              <w:right w:w="62" w:type="dxa"/>
            </w:tcMar>
          </w:tcPr>
          <w:p w14:paraId="61A20D1B" w14:textId="26191DDC" w:rsidR="00B42346" w:rsidRPr="00FB4717" w:rsidRDefault="00B42346" w:rsidP="00B42346">
            <w:pPr>
              <w:jc w:val="center"/>
            </w:pPr>
            <w:r w:rsidRPr="006B628A">
              <w:t>-</w:t>
            </w:r>
          </w:p>
        </w:tc>
        <w:tc>
          <w:tcPr>
            <w:tcW w:w="845" w:type="pct"/>
          </w:tcPr>
          <w:p w14:paraId="20DDA83E" w14:textId="2C9B5033" w:rsidR="00B42346" w:rsidRPr="00FB4717" w:rsidRDefault="00B42346" w:rsidP="00B42346">
            <w:pPr>
              <w:widowControl w:val="0"/>
              <w:autoSpaceDE w:val="0"/>
              <w:autoSpaceDN w:val="0"/>
              <w:adjustRightInd w:val="0"/>
              <w:ind w:left="111"/>
              <w:jc w:val="center"/>
            </w:pPr>
            <w:r w:rsidRPr="006B628A">
              <w:t>-</w:t>
            </w:r>
          </w:p>
        </w:tc>
        <w:tc>
          <w:tcPr>
            <w:tcW w:w="1674" w:type="pct"/>
            <w:tcMar>
              <w:top w:w="102" w:type="dxa"/>
              <w:left w:w="62" w:type="dxa"/>
              <w:bottom w:w="102" w:type="dxa"/>
              <w:right w:w="62" w:type="dxa"/>
            </w:tcMar>
          </w:tcPr>
          <w:p w14:paraId="7ACC5098" w14:textId="5D606EBF" w:rsidR="00B42346" w:rsidRPr="00FB4717" w:rsidRDefault="00B42346" w:rsidP="00B42346">
            <w:pPr>
              <w:tabs>
                <w:tab w:val="left" w:pos="1310"/>
              </w:tabs>
              <w:ind w:left="-250" w:firstLine="284"/>
              <w:jc w:val="center"/>
            </w:pPr>
            <w:r w:rsidRPr="006B628A">
              <w:t>-</w:t>
            </w:r>
          </w:p>
        </w:tc>
      </w:tr>
      <w:tr w:rsidR="00FB4717" w:rsidRPr="00FB4717" w14:paraId="316D93CC" w14:textId="77777777" w:rsidTr="00094368">
        <w:trPr>
          <w:trHeight w:val="147"/>
          <w:jc w:val="center"/>
        </w:trPr>
        <w:tc>
          <w:tcPr>
            <w:tcW w:w="183" w:type="pct"/>
            <w:tcMar>
              <w:top w:w="102" w:type="dxa"/>
              <w:left w:w="62" w:type="dxa"/>
              <w:bottom w:w="102" w:type="dxa"/>
              <w:right w:w="62" w:type="dxa"/>
            </w:tcMar>
          </w:tcPr>
          <w:p w14:paraId="1CBC8D6B" w14:textId="77777777" w:rsidR="00FB4717" w:rsidRPr="00FB4717" w:rsidRDefault="00FB4717" w:rsidP="00F60CF8">
            <w:pPr>
              <w:widowControl w:val="0"/>
              <w:autoSpaceDE w:val="0"/>
              <w:autoSpaceDN w:val="0"/>
              <w:adjustRightInd w:val="0"/>
              <w:jc w:val="center"/>
              <w:rPr>
                <w:b/>
                <w:bCs/>
              </w:rPr>
            </w:pPr>
            <w:r w:rsidRPr="00FB4717">
              <w:rPr>
                <w:b/>
                <w:bCs/>
              </w:rPr>
              <w:t>5.</w:t>
            </w:r>
          </w:p>
        </w:tc>
        <w:tc>
          <w:tcPr>
            <w:tcW w:w="4817" w:type="pct"/>
            <w:gridSpan w:val="4"/>
            <w:tcMar>
              <w:top w:w="102" w:type="dxa"/>
              <w:left w:w="62" w:type="dxa"/>
              <w:bottom w:w="102" w:type="dxa"/>
              <w:right w:w="62" w:type="dxa"/>
            </w:tcMar>
            <w:vAlign w:val="center"/>
          </w:tcPr>
          <w:p w14:paraId="088A01A4" w14:textId="77777777" w:rsidR="00FB4717" w:rsidRPr="00FB4717" w:rsidRDefault="00FB4717" w:rsidP="00B42346">
            <w:pPr>
              <w:pStyle w:val="ConsPlusNormal"/>
              <w:ind w:firstLine="444"/>
              <w:jc w:val="center"/>
              <w:rPr>
                <w:rFonts w:ascii="Times New Roman" w:hAnsi="Times New Roman" w:cs="Times New Roman"/>
                <w:b/>
                <w:bCs/>
                <w:sz w:val="24"/>
                <w:szCs w:val="24"/>
              </w:rPr>
            </w:pPr>
            <w:r w:rsidRPr="00FB4717">
              <w:rPr>
                <w:rFonts w:ascii="Times New Roman" w:hAnsi="Times New Roman" w:cs="Times New Roman"/>
                <w:b/>
                <w:bCs/>
                <w:sz w:val="24"/>
                <w:szCs w:val="24"/>
              </w:rPr>
              <w:t>Какие выгоды и преимущества могут возникнуть в случае принятия предлагаемого регулирования?</w:t>
            </w:r>
          </w:p>
        </w:tc>
      </w:tr>
      <w:tr w:rsidR="00B42346" w:rsidRPr="00FB4717" w14:paraId="23828C19" w14:textId="77777777" w:rsidTr="00094368">
        <w:trPr>
          <w:gridAfter w:val="1"/>
          <w:wAfter w:w="5" w:type="pct"/>
          <w:trHeight w:val="147"/>
          <w:jc w:val="center"/>
        </w:trPr>
        <w:tc>
          <w:tcPr>
            <w:tcW w:w="183" w:type="pct"/>
            <w:tcMar>
              <w:top w:w="102" w:type="dxa"/>
              <w:left w:w="62" w:type="dxa"/>
              <w:bottom w:w="102" w:type="dxa"/>
              <w:right w:w="62" w:type="dxa"/>
            </w:tcMar>
          </w:tcPr>
          <w:p w14:paraId="53CBBAD2" w14:textId="77777777" w:rsidR="00B42346" w:rsidRPr="00FB4717" w:rsidRDefault="00B42346" w:rsidP="00B42346">
            <w:pPr>
              <w:widowControl w:val="0"/>
              <w:autoSpaceDE w:val="0"/>
              <w:autoSpaceDN w:val="0"/>
              <w:adjustRightInd w:val="0"/>
              <w:jc w:val="center"/>
            </w:pPr>
            <w:r w:rsidRPr="00FB4717">
              <w:t>5.1.</w:t>
            </w:r>
          </w:p>
        </w:tc>
        <w:tc>
          <w:tcPr>
            <w:tcW w:w="2293" w:type="pct"/>
            <w:tcMar>
              <w:top w:w="102" w:type="dxa"/>
              <w:left w:w="62" w:type="dxa"/>
              <w:bottom w:w="102" w:type="dxa"/>
              <w:right w:w="62" w:type="dxa"/>
            </w:tcMar>
          </w:tcPr>
          <w:p w14:paraId="095663E0" w14:textId="0206A592" w:rsidR="00B42346" w:rsidRPr="00FB4717" w:rsidRDefault="00B42346" w:rsidP="00B42346">
            <w:pPr>
              <w:jc w:val="center"/>
            </w:pPr>
            <w:r w:rsidRPr="00F6130D">
              <w:t>-</w:t>
            </w:r>
          </w:p>
        </w:tc>
        <w:tc>
          <w:tcPr>
            <w:tcW w:w="845" w:type="pct"/>
          </w:tcPr>
          <w:p w14:paraId="5242510E" w14:textId="540A74CE" w:rsidR="00B42346" w:rsidRPr="00FB4717" w:rsidRDefault="00B42346" w:rsidP="00B42346">
            <w:pPr>
              <w:widowControl w:val="0"/>
              <w:autoSpaceDE w:val="0"/>
              <w:autoSpaceDN w:val="0"/>
              <w:adjustRightInd w:val="0"/>
              <w:ind w:left="96"/>
              <w:jc w:val="center"/>
            </w:pPr>
            <w:r w:rsidRPr="00F6130D">
              <w:t>-</w:t>
            </w:r>
          </w:p>
        </w:tc>
        <w:tc>
          <w:tcPr>
            <w:tcW w:w="1674" w:type="pct"/>
            <w:tcMar>
              <w:top w:w="102" w:type="dxa"/>
              <w:left w:w="62" w:type="dxa"/>
              <w:bottom w:w="102" w:type="dxa"/>
              <w:right w:w="62" w:type="dxa"/>
            </w:tcMar>
          </w:tcPr>
          <w:p w14:paraId="552C6744" w14:textId="302FE778" w:rsidR="00B42346" w:rsidRPr="00FB4717" w:rsidRDefault="00B42346" w:rsidP="00B42346">
            <w:pPr>
              <w:pStyle w:val="ConsPlusNormal"/>
              <w:ind w:left="-407" w:firstLine="444"/>
              <w:jc w:val="center"/>
              <w:rPr>
                <w:rFonts w:ascii="Times New Roman" w:hAnsi="Times New Roman" w:cs="Times New Roman"/>
                <w:sz w:val="24"/>
                <w:szCs w:val="24"/>
              </w:rPr>
            </w:pPr>
            <w:r w:rsidRPr="00F6130D">
              <w:t>-</w:t>
            </w:r>
          </w:p>
        </w:tc>
      </w:tr>
      <w:tr w:rsidR="00FB4717" w:rsidRPr="00FB4717" w14:paraId="3FD40959" w14:textId="77777777" w:rsidTr="00094368">
        <w:trPr>
          <w:trHeight w:val="147"/>
          <w:jc w:val="center"/>
        </w:trPr>
        <w:tc>
          <w:tcPr>
            <w:tcW w:w="183" w:type="pct"/>
            <w:tcMar>
              <w:top w:w="102" w:type="dxa"/>
              <w:left w:w="62" w:type="dxa"/>
              <w:bottom w:w="102" w:type="dxa"/>
              <w:right w:w="62" w:type="dxa"/>
            </w:tcMar>
          </w:tcPr>
          <w:p w14:paraId="1F1FE4AB" w14:textId="77777777" w:rsidR="00FB4717" w:rsidRPr="00FB4717" w:rsidRDefault="00FB4717" w:rsidP="00FB4717">
            <w:pPr>
              <w:widowControl w:val="0"/>
              <w:autoSpaceDE w:val="0"/>
              <w:autoSpaceDN w:val="0"/>
              <w:adjustRightInd w:val="0"/>
              <w:jc w:val="center"/>
              <w:rPr>
                <w:b/>
                <w:bCs/>
              </w:rPr>
            </w:pPr>
            <w:r w:rsidRPr="00FB4717">
              <w:rPr>
                <w:b/>
                <w:bCs/>
              </w:rPr>
              <w:t>6.</w:t>
            </w:r>
          </w:p>
        </w:tc>
        <w:tc>
          <w:tcPr>
            <w:tcW w:w="4817" w:type="pct"/>
            <w:gridSpan w:val="4"/>
            <w:tcMar>
              <w:top w:w="102" w:type="dxa"/>
              <w:left w:w="62" w:type="dxa"/>
              <w:bottom w:w="102" w:type="dxa"/>
              <w:right w:w="62" w:type="dxa"/>
            </w:tcMar>
            <w:vAlign w:val="center"/>
          </w:tcPr>
          <w:p w14:paraId="25942820" w14:textId="77777777" w:rsidR="00FB4717" w:rsidRPr="00FB4717" w:rsidRDefault="00FB4717" w:rsidP="00B42346">
            <w:pPr>
              <w:pStyle w:val="ConsPlusNormal"/>
              <w:tabs>
                <w:tab w:val="left" w:pos="2455"/>
              </w:tabs>
              <w:ind w:firstLine="444"/>
              <w:jc w:val="center"/>
              <w:rPr>
                <w:rFonts w:ascii="Times New Roman" w:hAnsi="Times New Roman" w:cs="Times New Roman"/>
                <w:b/>
                <w:bCs/>
                <w:sz w:val="24"/>
                <w:szCs w:val="24"/>
              </w:rPr>
            </w:pPr>
            <w:r w:rsidRPr="00FB4717">
              <w:rPr>
                <w:rFonts w:ascii="Times New Roman" w:hAnsi="Times New Roman" w:cs="Times New Roman"/>
                <w:b/>
                <w:bCs/>
                <w:sz w:val="24"/>
                <w:szCs w:val="24"/>
              </w:rPr>
              <w:t>Существуют ли альтернативные (менее затратные и (или) более эффективные) способы решения проблемы?</w:t>
            </w:r>
          </w:p>
        </w:tc>
      </w:tr>
      <w:tr w:rsidR="00B42346" w:rsidRPr="00FB4717" w14:paraId="714E19B6" w14:textId="77777777" w:rsidTr="00094368">
        <w:trPr>
          <w:gridAfter w:val="1"/>
          <w:wAfter w:w="5" w:type="pct"/>
          <w:trHeight w:val="147"/>
          <w:jc w:val="center"/>
        </w:trPr>
        <w:tc>
          <w:tcPr>
            <w:tcW w:w="183" w:type="pct"/>
            <w:tcMar>
              <w:top w:w="102" w:type="dxa"/>
              <w:left w:w="62" w:type="dxa"/>
              <w:bottom w:w="102" w:type="dxa"/>
              <w:right w:w="62" w:type="dxa"/>
            </w:tcMar>
          </w:tcPr>
          <w:p w14:paraId="44777E3D" w14:textId="77777777" w:rsidR="00B42346" w:rsidRPr="00FB4717" w:rsidRDefault="00B42346" w:rsidP="00B42346">
            <w:pPr>
              <w:widowControl w:val="0"/>
              <w:autoSpaceDE w:val="0"/>
              <w:autoSpaceDN w:val="0"/>
              <w:adjustRightInd w:val="0"/>
              <w:jc w:val="center"/>
            </w:pPr>
            <w:r w:rsidRPr="00FB4717">
              <w:lastRenderedPageBreak/>
              <w:t>6.1.</w:t>
            </w:r>
          </w:p>
        </w:tc>
        <w:tc>
          <w:tcPr>
            <w:tcW w:w="2293" w:type="pct"/>
            <w:tcMar>
              <w:top w:w="102" w:type="dxa"/>
              <w:left w:w="62" w:type="dxa"/>
              <w:bottom w:w="102" w:type="dxa"/>
              <w:right w:w="62" w:type="dxa"/>
            </w:tcMar>
          </w:tcPr>
          <w:p w14:paraId="3262CDFF" w14:textId="22A7A404" w:rsidR="00B42346" w:rsidRPr="00FB4717" w:rsidRDefault="00B42346" w:rsidP="00B42346">
            <w:pPr>
              <w:jc w:val="center"/>
            </w:pPr>
            <w:r w:rsidRPr="00780C4E">
              <w:t>-</w:t>
            </w:r>
          </w:p>
        </w:tc>
        <w:tc>
          <w:tcPr>
            <w:tcW w:w="845" w:type="pct"/>
          </w:tcPr>
          <w:p w14:paraId="13857745" w14:textId="144BE640" w:rsidR="00B42346" w:rsidRPr="00FB4717" w:rsidRDefault="00B42346" w:rsidP="00B42346">
            <w:pPr>
              <w:widowControl w:val="0"/>
              <w:autoSpaceDE w:val="0"/>
              <w:autoSpaceDN w:val="0"/>
              <w:adjustRightInd w:val="0"/>
              <w:ind w:left="96"/>
              <w:jc w:val="center"/>
            </w:pPr>
            <w:r w:rsidRPr="00780C4E">
              <w:t>-</w:t>
            </w:r>
          </w:p>
        </w:tc>
        <w:tc>
          <w:tcPr>
            <w:tcW w:w="1674" w:type="pct"/>
            <w:tcMar>
              <w:top w:w="102" w:type="dxa"/>
              <w:left w:w="62" w:type="dxa"/>
              <w:bottom w:w="102" w:type="dxa"/>
              <w:right w:w="62" w:type="dxa"/>
            </w:tcMar>
          </w:tcPr>
          <w:p w14:paraId="075C0C3C" w14:textId="3ECCF2F3" w:rsidR="00B42346" w:rsidRPr="00FB4717" w:rsidRDefault="00B42346" w:rsidP="00B42346">
            <w:pPr>
              <w:pStyle w:val="ConsPlusNormal"/>
              <w:ind w:left="-690"/>
              <w:jc w:val="center"/>
              <w:rPr>
                <w:rFonts w:ascii="Times New Roman" w:hAnsi="Times New Roman" w:cs="Times New Roman"/>
                <w:sz w:val="24"/>
                <w:szCs w:val="24"/>
              </w:rPr>
            </w:pPr>
            <w:r w:rsidRPr="00780C4E">
              <w:t>-</w:t>
            </w:r>
          </w:p>
        </w:tc>
      </w:tr>
      <w:tr w:rsidR="00FB4717" w:rsidRPr="00FB4717" w14:paraId="2E88C570" w14:textId="77777777" w:rsidTr="00094368">
        <w:trPr>
          <w:trHeight w:val="147"/>
          <w:jc w:val="center"/>
        </w:trPr>
        <w:tc>
          <w:tcPr>
            <w:tcW w:w="183" w:type="pct"/>
            <w:tcMar>
              <w:top w:w="102" w:type="dxa"/>
              <w:left w:w="62" w:type="dxa"/>
              <w:bottom w:w="102" w:type="dxa"/>
              <w:right w:w="62" w:type="dxa"/>
            </w:tcMar>
          </w:tcPr>
          <w:p w14:paraId="4BE55ABE" w14:textId="77777777" w:rsidR="00FB4717" w:rsidRPr="00FB4717" w:rsidRDefault="00FB4717" w:rsidP="00F60CF8">
            <w:pPr>
              <w:widowControl w:val="0"/>
              <w:autoSpaceDE w:val="0"/>
              <w:autoSpaceDN w:val="0"/>
              <w:adjustRightInd w:val="0"/>
              <w:jc w:val="center"/>
              <w:rPr>
                <w:b/>
                <w:bCs/>
              </w:rPr>
            </w:pPr>
            <w:r w:rsidRPr="00FB4717">
              <w:rPr>
                <w:b/>
                <w:bCs/>
              </w:rPr>
              <w:t>7.</w:t>
            </w:r>
          </w:p>
        </w:tc>
        <w:tc>
          <w:tcPr>
            <w:tcW w:w="4817" w:type="pct"/>
            <w:gridSpan w:val="4"/>
            <w:tcMar>
              <w:top w:w="102" w:type="dxa"/>
              <w:left w:w="62" w:type="dxa"/>
              <w:bottom w:w="102" w:type="dxa"/>
              <w:right w:w="62" w:type="dxa"/>
            </w:tcMar>
          </w:tcPr>
          <w:p w14:paraId="38D7168C" w14:textId="67B12CE5" w:rsidR="00FB4717" w:rsidRPr="00FB4717" w:rsidRDefault="00FB4717" w:rsidP="00FB4717">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right" w:pos="14925"/>
              </w:tabs>
              <w:ind w:firstLine="444"/>
              <w:jc w:val="center"/>
              <w:rPr>
                <w:rFonts w:ascii="Times New Roman" w:hAnsi="Times New Roman" w:cs="Times New Roman"/>
                <w:b/>
                <w:bCs/>
                <w:sz w:val="24"/>
                <w:szCs w:val="24"/>
              </w:rPr>
            </w:pPr>
            <w:r w:rsidRPr="00FB4717">
              <w:rPr>
                <w:rFonts w:ascii="Times New Roman" w:hAnsi="Times New Roman" w:cs="Times New Roman"/>
                <w:b/>
                <w:bCs/>
                <w:sz w:val="24"/>
                <w:szCs w:val="24"/>
              </w:rPr>
              <w:t>Ваше общее мнение по предлагаемому регулированию?</w:t>
            </w:r>
          </w:p>
        </w:tc>
      </w:tr>
      <w:tr w:rsidR="00B42346" w:rsidRPr="00FB4717" w14:paraId="64073063" w14:textId="77777777" w:rsidTr="00094368">
        <w:trPr>
          <w:gridAfter w:val="1"/>
          <w:wAfter w:w="5" w:type="pct"/>
          <w:trHeight w:val="147"/>
          <w:jc w:val="center"/>
        </w:trPr>
        <w:tc>
          <w:tcPr>
            <w:tcW w:w="183" w:type="pct"/>
            <w:tcMar>
              <w:top w:w="102" w:type="dxa"/>
              <w:left w:w="62" w:type="dxa"/>
              <w:bottom w:w="102" w:type="dxa"/>
              <w:right w:w="62" w:type="dxa"/>
            </w:tcMar>
          </w:tcPr>
          <w:p w14:paraId="500B2597" w14:textId="77777777" w:rsidR="00B42346" w:rsidRPr="00FB4717" w:rsidRDefault="00B42346" w:rsidP="00B42346">
            <w:pPr>
              <w:widowControl w:val="0"/>
              <w:autoSpaceDE w:val="0"/>
              <w:autoSpaceDN w:val="0"/>
              <w:adjustRightInd w:val="0"/>
              <w:jc w:val="center"/>
            </w:pPr>
            <w:r w:rsidRPr="00FB4717">
              <w:t>7.1.</w:t>
            </w:r>
          </w:p>
        </w:tc>
        <w:tc>
          <w:tcPr>
            <w:tcW w:w="2293" w:type="pct"/>
            <w:tcMar>
              <w:top w:w="102" w:type="dxa"/>
              <w:left w:w="62" w:type="dxa"/>
              <w:bottom w:w="102" w:type="dxa"/>
              <w:right w:w="62" w:type="dxa"/>
            </w:tcMar>
            <w:vAlign w:val="center"/>
          </w:tcPr>
          <w:p w14:paraId="693ABD34" w14:textId="737F0F59" w:rsidR="00B42346" w:rsidRPr="00FB4717" w:rsidRDefault="00B42346" w:rsidP="00D84A75">
            <w:pPr>
              <w:jc w:val="center"/>
            </w:pPr>
            <w:r w:rsidRPr="002144E9">
              <w:t>-</w:t>
            </w:r>
          </w:p>
        </w:tc>
        <w:tc>
          <w:tcPr>
            <w:tcW w:w="845" w:type="pct"/>
            <w:vAlign w:val="center"/>
          </w:tcPr>
          <w:p w14:paraId="0D796F87" w14:textId="6C7CB36E" w:rsidR="00B42346" w:rsidRPr="00FB4717" w:rsidRDefault="00B42346" w:rsidP="00D84A75">
            <w:pPr>
              <w:widowControl w:val="0"/>
              <w:autoSpaceDE w:val="0"/>
              <w:autoSpaceDN w:val="0"/>
              <w:adjustRightInd w:val="0"/>
              <w:ind w:left="96"/>
              <w:jc w:val="center"/>
            </w:pPr>
            <w:r w:rsidRPr="002144E9">
              <w:t>-</w:t>
            </w:r>
          </w:p>
        </w:tc>
        <w:tc>
          <w:tcPr>
            <w:tcW w:w="1674" w:type="pct"/>
            <w:tcMar>
              <w:top w:w="102" w:type="dxa"/>
              <w:left w:w="62" w:type="dxa"/>
              <w:bottom w:w="102" w:type="dxa"/>
              <w:right w:w="62" w:type="dxa"/>
            </w:tcMar>
            <w:vAlign w:val="center"/>
          </w:tcPr>
          <w:p w14:paraId="06B83649" w14:textId="06FC6499" w:rsidR="00B42346" w:rsidRPr="00FB4717" w:rsidRDefault="00B42346" w:rsidP="00D84A75">
            <w:pPr>
              <w:widowControl w:val="0"/>
              <w:autoSpaceDE w:val="0"/>
              <w:autoSpaceDN w:val="0"/>
              <w:adjustRightInd w:val="0"/>
              <w:ind w:left="18"/>
              <w:jc w:val="center"/>
              <w:rPr>
                <w:lang w:val="en-US"/>
              </w:rPr>
            </w:pPr>
            <w:r w:rsidRPr="002144E9">
              <w:t>-</w:t>
            </w:r>
          </w:p>
        </w:tc>
      </w:tr>
      <w:tr w:rsidR="003D55EF" w:rsidRPr="00FB4717" w14:paraId="32BE7DD2" w14:textId="77777777" w:rsidTr="00094368">
        <w:trPr>
          <w:trHeight w:val="147"/>
          <w:jc w:val="center"/>
        </w:trPr>
        <w:tc>
          <w:tcPr>
            <w:tcW w:w="183" w:type="pct"/>
            <w:tcMar>
              <w:top w:w="102" w:type="dxa"/>
              <w:left w:w="62" w:type="dxa"/>
              <w:bottom w:w="102" w:type="dxa"/>
              <w:right w:w="62" w:type="dxa"/>
            </w:tcMar>
          </w:tcPr>
          <w:p w14:paraId="05E8FE2F" w14:textId="1C7D560D" w:rsidR="003D55EF" w:rsidRPr="00FB4717" w:rsidRDefault="003D55EF" w:rsidP="00F60CF8">
            <w:pPr>
              <w:widowControl w:val="0"/>
              <w:autoSpaceDE w:val="0"/>
              <w:autoSpaceDN w:val="0"/>
              <w:adjustRightInd w:val="0"/>
              <w:jc w:val="center"/>
            </w:pPr>
            <w:r w:rsidRPr="003D55EF">
              <w:rPr>
                <w:b/>
                <w:bCs/>
              </w:rPr>
              <w:t>8</w:t>
            </w:r>
          </w:p>
        </w:tc>
        <w:tc>
          <w:tcPr>
            <w:tcW w:w="4817" w:type="pct"/>
            <w:gridSpan w:val="4"/>
            <w:tcMar>
              <w:top w:w="102" w:type="dxa"/>
              <w:left w:w="62" w:type="dxa"/>
              <w:bottom w:w="102" w:type="dxa"/>
              <w:right w:w="62" w:type="dxa"/>
            </w:tcMar>
          </w:tcPr>
          <w:p w14:paraId="558D8F47" w14:textId="3EF0B2A5" w:rsidR="003D55EF" w:rsidRPr="003D55EF" w:rsidRDefault="003D55EF" w:rsidP="003D55EF">
            <w:pPr>
              <w:widowControl w:val="0"/>
              <w:autoSpaceDE w:val="0"/>
              <w:autoSpaceDN w:val="0"/>
              <w:adjustRightInd w:val="0"/>
              <w:ind w:left="18"/>
              <w:jc w:val="center"/>
            </w:pPr>
            <w:r w:rsidRPr="00FB4717">
              <w:rPr>
                <w:b/>
                <w:bCs/>
              </w:rPr>
              <w:t>Оставьте своё мнение и/или прикрепите файл с предложениями</w:t>
            </w:r>
          </w:p>
        </w:tc>
      </w:tr>
      <w:tr w:rsidR="003D55EF" w:rsidRPr="00FB4717" w14:paraId="2003509A" w14:textId="77777777" w:rsidTr="00094368">
        <w:trPr>
          <w:gridAfter w:val="1"/>
          <w:wAfter w:w="5" w:type="pct"/>
          <w:trHeight w:val="147"/>
          <w:jc w:val="center"/>
        </w:trPr>
        <w:tc>
          <w:tcPr>
            <w:tcW w:w="183" w:type="pct"/>
            <w:tcMar>
              <w:top w:w="102" w:type="dxa"/>
              <w:left w:w="62" w:type="dxa"/>
              <w:bottom w:w="102" w:type="dxa"/>
              <w:right w:w="62" w:type="dxa"/>
            </w:tcMar>
          </w:tcPr>
          <w:p w14:paraId="454AE89B" w14:textId="734FC9AE" w:rsidR="003D55EF" w:rsidRPr="00FB4717" w:rsidRDefault="003D55EF" w:rsidP="00F60CF8">
            <w:pPr>
              <w:widowControl w:val="0"/>
              <w:autoSpaceDE w:val="0"/>
              <w:autoSpaceDN w:val="0"/>
              <w:adjustRightInd w:val="0"/>
              <w:jc w:val="center"/>
            </w:pPr>
            <w:r>
              <w:rPr>
                <w:lang w:val="en-US"/>
              </w:rPr>
              <w:t>8</w:t>
            </w:r>
            <w:r w:rsidRPr="00FB4717">
              <w:t>.1.</w:t>
            </w:r>
          </w:p>
        </w:tc>
        <w:tc>
          <w:tcPr>
            <w:tcW w:w="2293" w:type="pct"/>
            <w:tcMar>
              <w:top w:w="102" w:type="dxa"/>
              <w:left w:w="62" w:type="dxa"/>
              <w:bottom w:w="102" w:type="dxa"/>
              <w:right w:w="62" w:type="dxa"/>
            </w:tcMar>
          </w:tcPr>
          <w:p w14:paraId="14C4DD08" w14:textId="5FEE4316" w:rsidR="003D55EF" w:rsidRPr="00A76D93" w:rsidRDefault="00F50EF8" w:rsidP="00F60CF8">
            <w:pPr>
              <w:rPr>
                <w:i/>
                <w:u w:val="single"/>
              </w:rPr>
            </w:pPr>
            <w:r w:rsidRPr="00A76D93">
              <w:rPr>
                <w:i/>
                <w:u w:val="single"/>
              </w:rPr>
              <w:t xml:space="preserve">Мисюрова Евгения </w:t>
            </w:r>
            <w:hyperlink r:id="rId7" w:history="1">
              <w:r w:rsidR="00A76D93" w:rsidRPr="005F0BF1">
                <w:rPr>
                  <w:rStyle w:val="af1"/>
                  <w:i/>
                </w:rPr>
                <w:t>janemisurova@gmail.com</w:t>
              </w:r>
            </w:hyperlink>
            <w:r w:rsidR="00A76D93">
              <w:rPr>
                <w:i/>
                <w:u w:val="single"/>
              </w:rPr>
              <w:t xml:space="preserve"> (АО «Ювелит»)</w:t>
            </w:r>
          </w:p>
          <w:p w14:paraId="600455C2" w14:textId="77777777" w:rsidR="00F50EF8" w:rsidRDefault="00F50EF8" w:rsidP="00F50EF8">
            <w:r>
              <w:t xml:space="preserve">АО «Ювелит» (бренд SOKOLOV) рассмотрело проект постановления Правительства РФ «О внесении изменений в постановление Правительства Российской Федерации от 26 февраля 2021 г. № 270» (ID проекта 02/07/01-24/00145209) (далее-Проект) и направляет свою позицию. </w:t>
            </w:r>
          </w:p>
          <w:p w14:paraId="215AD9D5" w14:textId="77777777" w:rsidR="00F50EF8" w:rsidRDefault="00F50EF8" w:rsidP="00F50EF8">
            <w:r>
              <w:t>Проектом постановления предлагается установить, что с 1 сентября 2024 г.  вывод из оборота продукции, ювелирных изделий при их реализации конечным потребителям (физическим лицам) осуществляется в магазинах розничной торговли посредством модуля ГИИС ДМДК. В настоящее время, согласно законодательству, вывод из оборота ювелирных изделий осуществляется посредством ГИИС ДМДК головным офисом организации.</w:t>
            </w:r>
          </w:p>
          <w:p w14:paraId="35637880" w14:textId="77777777" w:rsidR="00F50EF8" w:rsidRDefault="00F50EF8" w:rsidP="00F50EF8">
            <w:r>
              <w:t xml:space="preserve">Реализация вышеуказанного процесса в учетной системе ГИИС ДМДК требует от предприятий розничной торговли, особенно крупных торговых сетей, в управлении которых находятся несколько сотен магазинов розничной торговли, колоссальных трудовых, финансовых, административных и технических затрат. </w:t>
            </w:r>
          </w:p>
          <w:p w14:paraId="4412A236" w14:textId="033B3AA4" w:rsidR="00F50EF8" w:rsidRDefault="00F50EF8" w:rsidP="00F50EF8">
            <w:r>
              <w:t>В связи с высокой нагрузкой на ГИИС Д</w:t>
            </w:r>
            <w:r w:rsidR="00582FCB">
              <w:t xml:space="preserve">МДК, на текущий момент система </w:t>
            </w:r>
            <w:r>
              <w:t xml:space="preserve">работает не стабильно и достаточно медленно. Введение обязанности отражать дополнительно еще огромное количество внутренних перемещений (возвратов) между, розничными </w:t>
            </w:r>
            <w:r>
              <w:lastRenderedPageBreak/>
              <w:t>магазинами одной сети еще более замедлит работу торговых точек. Ошибки при перемещении одного изделия (УИНа) могут заблокировать продажи по всем товарам в документе перемещения (в документе перемещения содержится информация не по одной товарной позиции). Розничные магазины не укомплектованы сотрудниками технической поддержки, которые могут оперативно разобраться и решить проблему с ГИИС ДМДК.</w:t>
            </w:r>
          </w:p>
          <w:p w14:paraId="19E5D80C" w14:textId="77777777" w:rsidR="00F50EF8" w:rsidRDefault="00F50EF8" w:rsidP="00F50EF8">
            <w:r>
              <w:t xml:space="preserve">Обеспечение движения (отражение в ГИИС ДМДК) ювелирных изделий между всеми розничными магазинами одной торговой сети потребует обеспечения технической поддержки большого количества дополнительных компьютеров на местах, цифровых подписей (ЭЦП) на каждом компьютере, которые требуют постоянного обновления и перевыпуска через ФНС России. </w:t>
            </w:r>
          </w:p>
          <w:p w14:paraId="219E0374" w14:textId="77777777" w:rsidR="00F50EF8" w:rsidRDefault="00F50EF8" w:rsidP="00F50EF8">
            <w:r>
              <w:t xml:space="preserve">Возникновение ошибки на любом из этапов, приведет к риску блокировки реализации товара и потери прибыли предприятия. </w:t>
            </w:r>
          </w:p>
          <w:p w14:paraId="45F72A5E" w14:textId="4F3FC673" w:rsidR="00F50EF8" w:rsidRDefault="00F50EF8" w:rsidP="00F50EF8">
            <w:r>
              <w:t>Несмотря на то, что транспортный модуль ГИИС ДМДК предоставляется организациям-участникам ГИИС ДМДК на безвозмездной основе и доступен к скачиваю с официального сайта ГИИС ДМДК, предприятия несут колоссальные расходы на программно-аппаратные комплексы и ЭЦП в каждом розничном магазин</w:t>
            </w:r>
            <w:r w:rsidR="00C628B6">
              <w:t xml:space="preserve">е. Временные затраты и расходы </w:t>
            </w:r>
            <w:r>
              <w:t>на изменение бизнес-процессов приемки (внутреннего перемещения) ювелирных изделий между большим количеством розничных магазинов, входящих в федеральные и региональные торговы</w:t>
            </w:r>
            <w:r w:rsidR="00C628B6">
              <w:t>е сети. Затраты на поддержание взаимодействия с ГИИС ДМДК по</w:t>
            </w:r>
            <w:r>
              <w:t xml:space="preserve"> выводу из оборота ювелирных изделий в каждом розничном магазине, входящем в федеральные и региональные торговые сети.</w:t>
            </w:r>
          </w:p>
          <w:p w14:paraId="36213EF3" w14:textId="77777777" w:rsidR="00F50EF8" w:rsidRDefault="00F50EF8" w:rsidP="00F50EF8">
            <w:r>
              <w:t xml:space="preserve">Необходимо отметить, что уже сейчас при выбытии ювелирного изделия (УИНа) указывается номер ККТ магазина, в котором оно было продано и в системе отражено фактическое место реализации </w:t>
            </w:r>
            <w:r>
              <w:lastRenderedPageBreak/>
              <w:t xml:space="preserve">изделия, следовательно, обеспечивается полная прослеживаемость оборота ювелирных изделий. </w:t>
            </w:r>
          </w:p>
          <w:p w14:paraId="3478D236" w14:textId="77777777" w:rsidR="00F50EF8" w:rsidRDefault="00F50EF8" w:rsidP="00F50EF8">
            <w:r>
              <w:t>В связи с вышеизложенным, считаем необходимым в настоящее время исключить из проекта Постановления требование по обязательному выводу из оборота ювелирных изделий в розничных магазинах посредством модуля ГИИС ДМДК или установить переходных период не менее 1 года для возможности вывода из оборота продукции, ювелирных изделий при их реализации конечным потребителям (физическим лицам) головным офисом организации и перенастройки бизнес – процессов предприятий для обеспечения выполнения требований по выводу из оборота ювелирных изделий в магазинах розничной торговли посредством модуля ГИИС ДМДК.</w:t>
            </w:r>
          </w:p>
          <w:p w14:paraId="65CA4D76" w14:textId="75DAB74D" w:rsidR="00F50EF8" w:rsidRPr="00FB4717" w:rsidRDefault="00F50EF8" w:rsidP="00F50EF8">
            <w:r>
              <w:t xml:space="preserve">Просим учесть позицию АО «Ювелит» при оценке регулирующего воздействия проекта постановления Правительства РФ «О внесении изменений в постановление Правительства Российской Федерации от 26 февраля 2021 г. </w:t>
            </w:r>
            <w:r w:rsidR="0024462D">
              <w:br/>
            </w:r>
            <w:r>
              <w:t>№ 270».</w:t>
            </w:r>
          </w:p>
        </w:tc>
        <w:tc>
          <w:tcPr>
            <w:tcW w:w="845" w:type="pct"/>
          </w:tcPr>
          <w:p w14:paraId="1D0A88D4" w14:textId="0396A7B9" w:rsidR="003D55EF" w:rsidRPr="00FB4717" w:rsidRDefault="00FE4DE4" w:rsidP="00014879">
            <w:pPr>
              <w:widowControl w:val="0"/>
              <w:autoSpaceDE w:val="0"/>
              <w:autoSpaceDN w:val="0"/>
              <w:adjustRightInd w:val="0"/>
              <w:ind w:left="96"/>
              <w:jc w:val="center"/>
            </w:pPr>
            <w:r>
              <w:lastRenderedPageBreak/>
              <w:t>Учтено частично</w:t>
            </w:r>
            <w:r w:rsidR="000466E4">
              <w:t>.</w:t>
            </w:r>
          </w:p>
        </w:tc>
        <w:tc>
          <w:tcPr>
            <w:tcW w:w="1674" w:type="pct"/>
            <w:tcMar>
              <w:top w:w="102" w:type="dxa"/>
              <w:left w:w="62" w:type="dxa"/>
              <w:bottom w:w="102" w:type="dxa"/>
              <w:right w:w="62" w:type="dxa"/>
            </w:tcMar>
          </w:tcPr>
          <w:p w14:paraId="382FE224" w14:textId="329372EF" w:rsidR="003D55EF" w:rsidRPr="00F50EF8" w:rsidRDefault="009C658A" w:rsidP="00B64494">
            <w:pPr>
              <w:widowControl w:val="0"/>
              <w:autoSpaceDE w:val="0"/>
              <w:autoSpaceDN w:val="0"/>
              <w:adjustRightInd w:val="0"/>
              <w:ind w:left="18"/>
            </w:pPr>
            <w:r>
              <w:t>В</w:t>
            </w:r>
            <w:r w:rsidR="00B64494">
              <w:t xml:space="preserve"> целях снижения административной нагрузки на</w:t>
            </w:r>
            <w:r w:rsidR="00015462" w:rsidRPr="00A12FE5">
              <w:t xml:space="preserve"> субъекты предпринимательства</w:t>
            </w:r>
            <w:r w:rsidR="000C4B67">
              <w:t xml:space="preserve"> в ГИИС ДМДК реализована возможность отправки спецификаций между подразделениями одной организации </w:t>
            </w:r>
            <w:r w:rsidR="000C4B67" w:rsidRPr="000C4B67">
              <w:rPr>
                <w:u w:val="single"/>
              </w:rPr>
              <w:t>без подписания электронной подписью</w:t>
            </w:r>
            <w:r w:rsidR="00B64494">
              <w:rPr>
                <w:u w:val="single"/>
              </w:rPr>
              <w:t>.</w:t>
            </w:r>
          </w:p>
        </w:tc>
      </w:tr>
      <w:tr w:rsidR="003919EB" w:rsidRPr="00FB4717" w14:paraId="2448EC1D" w14:textId="77777777" w:rsidTr="00094368">
        <w:trPr>
          <w:gridAfter w:val="1"/>
          <w:wAfter w:w="5" w:type="pct"/>
          <w:trHeight w:val="147"/>
          <w:jc w:val="center"/>
        </w:trPr>
        <w:tc>
          <w:tcPr>
            <w:tcW w:w="183" w:type="pct"/>
            <w:tcMar>
              <w:top w:w="102" w:type="dxa"/>
              <w:left w:w="62" w:type="dxa"/>
              <w:bottom w:w="102" w:type="dxa"/>
              <w:right w:w="62" w:type="dxa"/>
            </w:tcMar>
          </w:tcPr>
          <w:p w14:paraId="67BF20D6" w14:textId="576E3E17" w:rsidR="003919EB" w:rsidRPr="003919EB" w:rsidRDefault="003919EB" w:rsidP="00F60CF8">
            <w:pPr>
              <w:widowControl w:val="0"/>
              <w:autoSpaceDE w:val="0"/>
              <w:autoSpaceDN w:val="0"/>
              <w:adjustRightInd w:val="0"/>
              <w:jc w:val="center"/>
            </w:pPr>
            <w:r>
              <w:lastRenderedPageBreak/>
              <w:t>8.2.</w:t>
            </w:r>
          </w:p>
        </w:tc>
        <w:tc>
          <w:tcPr>
            <w:tcW w:w="2293" w:type="pct"/>
            <w:tcMar>
              <w:top w:w="102" w:type="dxa"/>
              <w:left w:w="62" w:type="dxa"/>
              <w:bottom w:w="102" w:type="dxa"/>
              <w:right w:w="62" w:type="dxa"/>
            </w:tcMar>
          </w:tcPr>
          <w:p w14:paraId="4B828B4E" w14:textId="4E034839" w:rsidR="003919EB" w:rsidRDefault="003919EB" w:rsidP="00F60CF8">
            <w:pPr>
              <w:rPr>
                <w:i/>
                <w:u w:val="single"/>
              </w:rPr>
            </w:pPr>
            <w:r w:rsidRPr="00677849">
              <w:rPr>
                <w:i/>
                <w:u w:val="single"/>
              </w:rPr>
              <w:t>Чебрикова Екатерина</w:t>
            </w:r>
            <w:r w:rsidR="00BF3FFE">
              <w:rPr>
                <w:i/>
                <w:u w:val="single"/>
              </w:rPr>
              <w:t xml:space="preserve"> (</w:t>
            </w:r>
            <w:r w:rsidR="00BF3FFE" w:rsidRPr="00BF3FFE">
              <w:rPr>
                <w:i/>
                <w:u w:val="single"/>
              </w:rPr>
              <w:t>ООО «УК Полюс»</w:t>
            </w:r>
            <w:r w:rsidR="00BF3FFE">
              <w:rPr>
                <w:i/>
                <w:u w:val="single"/>
              </w:rPr>
              <w:t>)</w:t>
            </w:r>
          </w:p>
          <w:p w14:paraId="33EC56BC" w14:textId="77777777" w:rsidR="00677849" w:rsidRPr="00677849" w:rsidRDefault="00677849" w:rsidP="00F60CF8">
            <w:pPr>
              <w:rPr>
                <w:i/>
                <w:u w:val="single"/>
              </w:rPr>
            </w:pPr>
          </w:p>
          <w:p w14:paraId="6ED60D68" w14:textId="77777777" w:rsidR="00387733" w:rsidRDefault="00387733" w:rsidP="00387733">
            <w:r>
              <w:t>В целях исключения положений, вводящих избыточные административные и иные ограничения и обязанности участников рынка ДМДК предусмотреть возможность выбора способа идентификации продукции путем нанесения средств идентификации ДМДК либо по выбору на одно из следующих понятий: на упаковку, этикетку, бирку, ярлык, либо на сопровождающие документы, в том числе сертификат (например, товарно-транспортная накладная, товарная накладная, спецификация и т.п.).</w:t>
            </w:r>
          </w:p>
          <w:p w14:paraId="46788C8B" w14:textId="77777777" w:rsidR="003919EB" w:rsidRDefault="00387733" w:rsidP="00387733">
            <w:r>
              <w:lastRenderedPageBreak/>
              <w:t xml:space="preserve"> - Выбор способа идентификации ДМДК позволит сократить трудозатраты при оформлении (маркировки) партий ДМДК большого объема (например, партий руды). При этом большие объемы руды невозможно идентифицировать с использованием упаковки, этикетки, бирки, ярлыка из-за насыпного характера груза. Также не всегда возможно нанести ИНП на товарно-транспортные накладные, товарные накладные, спецификации и т.п. из-за нескольких стадий перевалки груза, при которых выписываются новые сопровождающие документы. Остается идентификация только с помощью нанесения ИНП на сертификат, который создается на фабрике производителя.</w:t>
            </w:r>
          </w:p>
          <w:p w14:paraId="3E42D5E1" w14:textId="77777777" w:rsidR="00387733" w:rsidRDefault="00387733" w:rsidP="00387733"/>
          <w:p w14:paraId="0A0BA0E8" w14:textId="77777777" w:rsidR="00387733" w:rsidRDefault="00387733" w:rsidP="00387733"/>
          <w:tbl>
            <w:tblPr>
              <w:tblStyle w:val="ae"/>
              <w:tblW w:w="0" w:type="auto"/>
              <w:tblLook w:val="04A0" w:firstRow="1" w:lastRow="0" w:firstColumn="1" w:lastColumn="0" w:noHBand="0" w:noVBand="1"/>
            </w:tblPr>
            <w:tblGrid>
              <w:gridCol w:w="3529"/>
              <w:gridCol w:w="3553"/>
            </w:tblGrid>
            <w:tr w:rsidR="00387733" w:rsidRPr="002202DA" w14:paraId="4BC1927D" w14:textId="77777777" w:rsidTr="00F60CF8">
              <w:tc>
                <w:tcPr>
                  <w:tcW w:w="4815" w:type="dxa"/>
                </w:tcPr>
                <w:p w14:paraId="5617C6B5" w14:textId="77777777" w:rsidR="00387733" w:rsidRPr="002202DA" w:rsidRDefault="00387733" w:rsidP="00387733">
                  <w:pPr>
                    <w:rPr>
                      <w:b/>
                    </w:rPr>
                  </w:pPr>
                  <w:r w:rsidRPr="002202DA">
                    <w:rPr>
                      <w:b/>
                    </w:rPr>
                    <w:t xml:space="preserve">Редакция Проекта </w:t>
                  </w:r>
                </w:p>
              </w:tc>
              <w:tc>
                <w:tcPr>
                  <w:tcW w:w="4891" w:type="dxa"/>
                </w:tcPr>
                <w:p w14:paraId="692F0437" w14:textId="77777777" w:rsidR="00387733" w:rsidRPr="002202DA" w:rsidRDefault="00387733" w:rsidP="00387733">
                  <w:pPr>
                    <w:rPr>
                      <w:b/>
                    </w:rPr>
                  </w:pPr>
                  <w:r w:rsidRPr="002202DA">
                    <w:rPr>
                      <w:b/>
                    </w:rPr>
                    <w:t>Предложения Полюс</w:t>
                  </w:r>
                </w:p>
              </w:tc>
            </w:tr>
            <w:tr w:rsidR="00387733" w:rsidRPr="002202DA" w14:paraId="71B5E1FD" w14:textId="77777777" w:rsidTr="00F60CF8">
              <w:tc>
                <w:tcPr>
                  <w:tcW w:w="4815" w:type="dxa"/>
                </w:tcPr>
                <w:p w14:paraId="5C1D9D73" w14:textId="77777777" w:rsidR="00387733" w:rsidRPr="002202DA" w:rsidRDefault="00387733" w:rsidP="00387733">
                  <w:pPr>
                    <w:rPr>
                      <w:b/>
                    </w:rPr>
                  </w:pPr>
                  <w:r w:rsidRPr="002202DA">
                    <w:rPr>
                      <w:b/>
                    </w:rPr>
                    <w:t>абзац тридцать шесть пункт 2:</w:t>
                  </w:r>
                </w:p>
                <w:p w14:paraId="772E2F06" w14:textId="77777777" w:rsidR="00387733" w:rsidRDefault="00387733" w:rsidP="00387733">
                  <w:pPr>
                    <w:autoSpaceDE w:val="0"/>
                    <w:autoSpaceDN w:val="0"/>
                    <w:adjustRightInd w:val="0"/>
                    <w:ind w:firstLine="540"/>
                    <w:jc w:val="both"/>
                    <w:rPr>
                      <w:rFonts w:ascii="Arial" w:hAnsi="Arial" w:cs="Arial"/>
                      <w:sz w:val="20"/>
                      <w:szCs w:val="20"/>
                    </w:rPr>
                  </w:pPr>
                  <w:r>
                    <w:rPr>
                      <w:rFonts w:ascii="Arial" w:hAnsi="Arial" w:cs="Arial"/>
                      <w:sz w:val="20"/>
                      <w:szCs w:val="20"/>
                    </w:rPr>
                    <w:t>«идентификация продукции" - нанесение в соответствии с настоящими Правилами идентификационного номера партии на упаковку, этикетку, бирку, ярлык, сертификат а также на документы, сопровождающие продукцию, либо уникального идентификационного номера и двухмерного штрихового кода на сертификаты (паспорта) слитков аффинированных драгоценных металлов;»</w:t>
                  </w:r>
                </w:p>
                <w:p w14:paraId="41CEE8C0" w14:textId="77777777" w:rsidR="00387733" w:rsidRPr="002202DA" w:rsidRDefault="00387733" w:rsidP="00387733"/>
              </w:tc>
              <w:tc>
                <w:tcPr>
                  <w:tcW w:w="4891" w:type="dxa"/>
                </w:tcPr>
                <w:p w14:paraId="39C3D30F" w14:textId="77777777" w:rsidR="00387733" w:rsidRPr="002202DA" w:rsidRDefault="00387733" w:rsidP="00387733">
                  <w:pPr>
                    <w:rPr>
                      <w:b/>
                    </w:rPr>
                  </w:pPr>
                  <w:r w:rsidRPr="002202DA">
                    <w:rPr>
                      <w:b/>
                    </w:rPr>
                    <w:t>абзац тридцать шесть пункт 2:</w:t>
                  </w:r>
                </w:p>
                <w:p w14:paraId="2884C0F7" w14:textId="77777777" w:rsidR="00387733" w:rsidRDefault="00387733" w:rsidP="00387733">
                  <w:pPr>
                    <w:autoSpaceDE w:val="0"/>
                    <w:autoSpaceDN w:val="0"/>
                    <w:adjustRightInd w:val="0"/>
                    <w:ind w:firstLine="540"/>
                    <w:jc w:val="both"/>
                    <w:rPr>
                      <w:rFonts w:ascii="Arial" w:hAnsi="Arial" w:cs="Arial"/>
                      <w:sz w:val="20"/>
                      <w:szCs w:val="20"/>
                    </w:rPr>
                  </w:pPr>
                  <w:r>
                    <w:rPr>
                      <w:rFonts w:ascii="Arial" w:hAnsi="Arial" w:cs="Arial"/>
                      <w:sz w:val="20"/>
                      <w:szCs w:val="20"/>
                    </w:rPr>
                    <w:t xml:space="preserve">«идентификация продукции" - нанесение в соответствии с настоящими Правилами идентификационного номера партии на упаковку, этикетку, бирку, ярлык </w:t>
                  </w:r>
                  <w:r w:rsidRPr="00EC01FF">
                    <w:rPr>
                      <w:rFonts w:ascii="Arial" w:hAnsi="Arial" w:cs="Arial"/>
                      <w:b/>
                      <w:sz w:val="20"/>
                      <w:szCs w:val="20"/>
                      <w:u w:val="single"/>
                    </w:rPr>
                    <w:t>или</w:t>
                  </w:r>
                  <w:r>
                    <w:rPr>
                      <w:rFonts w:ascii="Arial" w:hAnsi="Arial" w:cs="Arial"/>
                      <w:sz w:val="20"/>
                      <w:szCs w:val="20"/>
                    </w:rPr>
                    <w:t xml:space="preserve"> документы, сопровождающие продукцию, </w:t>
                  </w:r>
                  <w:r w:rsidRPr="003D5CD0">
                    <w:rPr>
                      <w:rFonts w:ascii="Arial" w:hAnsi="Arial" w:cs="Arial"/>
                      <w:b/>
                      <w:sz w:val="20"/>
                      <w:szCs w:val="20"/>
                      <w:u w:val="single"/>
                    </w:rPr>
                    <w:t>в том числе сертификат</w:t>
                  </w:r>
                  <w:r>
                    <w:rPr>
                      <w:rFonts w:ascii="Arial" w:hAnsi="Arial" w:cs="Arial"/>
                      <w:sz w:val="20"/>
                      <w:szCs w:val="20"/>
                    </w:rPr>
                    <w:t>, либо уникального идентификационного номера и двухмерного штрихового кода на сертификаты (паспорта) слитков аффинированных драгоценных металлов;»</w:t>
                  </w:r>
                </w:p>
                <w:p w14:paraId="07EB8765" w14:textId="77777777" w:rsidR="00387733" w:rsidRPr="002202DA" w:rsidRDefault="00387733" w:rsidP="00387733">
                  <w:pPr>
                    <w:autoSpaceDE w:val="0"/>
                    <w:autoSpaceDN w:val="0"/>
                    <w:adjustRightInd w:val="0"/>
                    <w:ind w:firstLine="540"/>
                    <w:jc w:val="both"/>
                  </w:pPr>
                </w:p>
              </w:tc>
            </w:tr>
            <w:tr w:rsidR="00387733" w:rsidRPr="002202DA" w14:paraId="48EA9BFE" w14:textId="77777777" w:rsidTr="00F60CF8">
              <w:tc>
                <w:tcPr>
                  <w:tcW w:w="4815" w:type="dxa"/>
                </w:tcPr>
                <w:p w14:paraId="69AB9EDE" w14:textId="77777777" w:rsidR="00387733" w:rsidRPr="002202DA" w:rsidRDefault="00387733" w:rsidP="00387733">
                  <w:pPr>
                    <w:rPr>
                      <w:b/>
                    </w:rPr>
                  </w:pPr>
                  <w:r w:rsidRPr="002202DA">
                    <w:rPr>
                      <w:b/>
                    </w:rPr>
                    <w:t>абзац тридцать семь пункт 2:</w:t>
                  </w:r>
                </w:p>
                <w:p w14:paraId="77FAA381" w14:textId="77777777" w:rsidR="00387733" w:rsidRDefault="00387733" w:rsidP="00387733">
                  <w:pPr>
                    <w:autoSpaceDE w:val="0"/>
                    <w:autoSpaceDN w:val="0"/>
                    <w:adjustRightInd w:val="0"/>
                    <w:ind w:firstLine="540"/>
                    <w:jc w:val="both"/>
                    <w:rPr>
                      <w:rFonts w:ascii="Arial" w:hAnsi="Arial" w:cs="Arial"/>
                      <w:sz w:val="20"/>
                      <w:szCs w:val="20"/>
                    </w:rPr>
                  </w:pPr>
                  <w:r>
                    <w:rPr>
                      <w:rFonts w:ascii="Arial" w:hAnsi="Arial" w:cs="Arial"/>
                      <w:sz w:val="20"/>
                      <w:szCs w:val="20"/>
                    </w:rPr>
                    <w:lastRenderedPageBreak/>
                    <w:t>«идентифицированная продукция" - продукция, на этикетку, бирку, ярлык, сертификат упаковку которой, а также на документы, ее сопровождающие, нанесен идентификационный номер партии либо на сертификаты (паспорта) слитков аффинированных драгоценных металлов нанесены уникальный идентификационный номер и двухмерный штриховой код с соблюдением требований настоящих Правил и достоверные сведения о которой содержатся в ГИИС ДМДК;»</w:t>
                  </w:r>
                </w:p>
                <w:p w14:paraId="655F8B8A" w14:textId="77777777" w:rsidR="00387733" w:rsidRPr="002202DA" w:rsidRDefault="00387733" w:rsidP="00387733">
                  <w:pPr>
                    <w:autoSpaceDE w:val="0"/>
                    <w:autoSpaceDN w:val="0"/>
                    <w:adjustRightInd w:val="0"/>
                    <w:ind w:firstLine="540"/>
                    <w:jc w:val="both"/>
                  </w:pPr>
                </w:p>
              </w:tc>
              <w:tc>
                <w:tcPr>
                  <w:tcW w:w="4891" w:type="dxa"/>
                </w:tcPr>
                <w:p w14:paraId="1D791AC1" w14:textId="77777777" w:rsidR="00387733" w:rsidRPr="002202DA" w:rsidRDefault="00387733" w:rsidP="00387733">
                  <w:pPr>
                    <w:rPr>
                      <w:b/>
                    </w:rPr>
                  </w:pPr>
                  <w:r w:rsidRPr="002202DA">
                    <w:rPr>
                      <w:b/>
                    </w:rPr>
                    <w:lastRenderedPageBreak/>
                    <w:t>абзац тридцать семь пункт 2:</w:t>
                  </w:r>
                </w:p>
                <w:p w14:paraId="4A042DFD" w14:textId="77777777" w:rsidR="00387733" w:rsidRDefault="00387733" w:rsidP="00387733">
                  <w:pPr>
                    <w:autoSpaceDE w:val="0"/>
                    <w:autoSpaceDN w:val="0"/>
                    <w:adjustRightInd w:val="0"/>
                    <w:ind w:firstLine="540"/>
                    <w:jc w:val="both"/>
                    <w:rPr>
                      <w:rFonts w:ascii="Arial" w:hAnsi="Arial" w:cs="Arial"/>
                      <w:sz w:val="20"/>
                      <w:szCs w:val="20"/>
                    </w:rPr>
                  </w:pPr>
                  <w:r>
                    <w:rPr>
                      <w:rFonts w:ascii="Arial" w:hAnsi="Arial" w:cs="Arial"/>
                      <w:sz w:val="20"/>
                      <w:szCs w:val="20"/>
                    </w:rPr>
                    <w:lastRenderedPageBreak/>
                    <w:t xml:space="preserve">«идентифицированная продукция" - продукция, на этикетку, бирку, ярлык, упаковку </w:t>
                  </w:r>
                  <w:r w:rsidRPr="00EC01FF">
                    <w:rPr>
                      <w:rFonts w:ascii="Arial" w:hAnsi="Arial" w:cs="Arial"/>
                      <w:b/>
                      <w:sz w:val="20"/>
                      <w:szCs w:val="20"/>
                      <w:u w:val="single"/>
                    </w:rPr>
                    <w:t>или</w:t>
                  </w:r>
                  <w:r w:rsidRPr="00EC01FF">
                    <w:rPr>
                      <w:rFonts w:ascii="Arial" w:hAnsi="Arial" w:cs="Arial"/>
                      <w:sz w:val="20"/>
                      <w:szCs w:val="20"/>
                    </w:rPr>
                    <w:t xml:space="preserve"> </w:t>
                  </w:r>
                  <w:r>
                    <w:rPr>
                      <w:rFonts w:ascii="Arial" w:hAnsi="Arial" w:cs="Arial"/>
                      <w:sz w:val="20"/>
                      <w:szCs w:val="20"/>
                    </w:rPr>
                    <w:t xml:space="preserve">на документы, ее сопровождающие, </w:t>
                  </w:r>
                  <w:r w:rsidRPr="003D5CD0">
                    <w:rPr>
                      <w:rFonts w:ascii="Arial" w:hAnsi="Arial" w:cs="Arial"/>
                      <w:b/>
                      <w:sz w:val="20"/>
                      <w:szCs w:val="20"/>
                      <w:u w:val="single"/>
                    </w:rPr>
                    <w:t>в том числе сертификат</w:t>
                  </w:r>
                  <w:r>
                    <w:rPr>
                      <w:rFonts w:ascii="Arial" w:hAnsi="Arial" w:cs="Arial"/>
                      <w:b/>
                      <w:sz w:val="20"/>
                      <w:szCs w:val="20"/>
                      <w:u w:val="single"/>
                    </w:rPr>
                    <w:t>,</w:t>
                  </w:r>
                  <w:r>
                    <w:rPr>
                      <w:rFonts w:ascii="Arial" w:hAnsi="Arial" w:cs="Arial"/>
                      <w:sz w:val="20"/>
                      <w:szCs w:val="20"/>
                    </w:rPr>
                    <w:t xml:space="preserve"> нанесен идентификационный номер партии либо на сертификаты (паспорта) слитков аффинированных драгоценных металлов нанесены уникальный идентификационный номер и двухмерный штриховой код с соблюдением требований настоящих Правил и достоверные сведения о которой содержатся в ГИИС ДМДК;»</w:t>
                  </w:r>
                </w:p>
                <w:p w14:paraId="1D650E84" w14:textId="77777777" w:rsidR="00387733" w:rsidRPr="002202DA" w:rsidRDefault="00387733" w:rsidP="00387733">
                  <w:pPr>
                    <w:autoSpaceDE w:val="0"/>
                    <w:autoSpaceDN w:val="0"/>
                    <w:adjustRightInd w:val="0"/>
                    <w:ind w:firstLine="540"/>
                    <w:jc w:val="both"/>
                  </w:pPr>
                </w:p>
              </w:tc>
            </w:tr>
          </w:tbl>
          <w:p w14:paraId="2A5B90FA" w14:textId="2513F786" w:rsidR="00387733" w:rsidRPr="00F50EF8" w:rsidRDefault="00387733" w:rsidP="00387733"/>
        </w:tc>
        <w:tc>
          <w:tcPr>
            <w:tcW w:w="845" w:type="pct"/>
          </w:tcPr>
          <w:p w14:paraId="15D59B7E" w14:textId="604484F2" w:rsidR="003919EB" w:rsidRPr="00FB4717" w:rsidRDefault="0012341A" w:rsidP="003D55EF">
            <w:pPr>
              <w:widowControl w:val="0"/>
              <w:autoSpaceDE w:val="0"/>
              <w:autoSpaceDN w:val="0"/>
              <w:adjustRightInd w:val="0"/>
              <w:ind w:left="96"/>
            </w:pPr>
            <w:r>
              <w:lastRenderedPageBreak/>
              <w:t>Учтено частично.</w:t>
            </w:r>
          </w:p>
        </w:tc>
        <w:tc>
          <w:tcPr>
            <w:tcW w:w="1674" w:type="pct"/>
            <w:tcMar>
              <w:top w:w="102" w:type="dxa"/>
              <w:left w:w="62" w:type="dxa"/>
              <w:bottom w:w="102" w:type="dxa"/>
              <w:right w:w="62" w:type="dxa"/>
            </w:tcMar>
          </w:tcPr>
          <w:p w14:paraId="15C6CF81" w14:textId="77777777" w:rsidR="00164FB0" w:rsidRDefault="00164FB0" w:rsidP="00164FB0">
            <w:pPr>
              <w:widowControl w:val="0"/>
              <w:autoSpaceDE w:val="0"/>
              <w:autoSpaceDN w:val="0"/>
              <w:adjustRightInd w:val="0"/>
              <w:ind w:left="18"/>
            </w:pPr>
            <w:r>
              <w:t>Учтено в рамках проекта постановления</w:t>
            </w:r>
            <w:r w:rsidRPr="002B065B">
              <w:t xml:space="preserve"> Правительства Российской Федерации «О внесении изменений в постановление Правительства Российской Федерации от 26 февраля 2021 г. № 270»</w:t>
            </w:r>
            <w:r>
              <w:t xml:space="preserve">, разработанного </w:t>
            </w:r>
            <w:r w:rsidRPr="002B065B">
              <w:t>в целях оцифровки информации о добытом минеральном сырье, содержащем драгоценные металлы, посредством</w:t>
            </w:r>
            <w:r>
              <w:t xml:space="preserve"> ГИИС ДМДК.</w:t>
            </w:r>
          </w:p>
          <w:p w14:paraId="07133BDE" w14:textId="77777777" w:rsidR="00164FB0" w:rsidRDefault="00164FB0" w:rsidP="00164FB0">
            <w:pPr>
              <w:widowControl w:val="0"/>
              <w:autoSpaceDE w:val="0"/>
              <w:autoSpaceDN w:val="0"/>
              <w:adjustRightInd w:val="0"/>
              <w:ind w:left="18"/>
            </w:pPr>
            <w:r>
              <w:t xml:space="preserve">«абзац тридцать шестой пункта 2 дополнить словами «Идентификация минерального сырья и продуктов его переработки в сыпучем виде при </w:t>
            </w:r>
            <w:r>
              <w:lastRenderedPageBreak/>
              <w:t>их перевозке без индивидуальной упаковки производится посредством нанесения идентификационного номера на документы, сопровождающие продукцию».</w:t>
            </w:r>
          </w:p>
          <w:p w14:paraId="3EBAEDFE" w14:textId="77777777" w:rsidR="003919EB" w:rsidRPr="00F50EF8" w:rsidRDefault="003919EB" w:rsidP="003D55EF">
            <w:pPr>
              <w:widowControl w:val="0"/>
              <w:autoSpaceDE w:val="0"/>
              <w:autoSpaceDN w:val="0"/>
              <w:adjustRightInd w:val="0"/>
              <w:ind w:left="18"/>
            </w:pPr>
          </w:p>
        </w:tc>
      </w:tr>
      <w:tr w:rsidR="001163B3" w:rsidRPr="00FB4717" w14:paraId="216ABB81" w14:textId="77777777" w:rsidTr="00094368">
        <w:trPr>
          <w:gridAfter w:val="1"/>
          <w:wAfter w:w="5" w:type="pct"/>
          <w:trHeight w:val="147"/>
          <w:jc w:val="center"/>
        </w:trPr>
        <w:tc>
          <w:tcPr>
            <w:tcW w:w="183" w:type="pct"/>
            <w:tcMar>
              <w:top w:w="102" w:type="dxa"/>
              <w:left w:w="62" w:type="dxa"/>
              <w:bottom w:w="102" w:type="dxa"/>
              <w:right w:w="62" w:type="dxa"/>
            </w:tcMar>
          </w:tcPr>
          <w:p w14:paraId="1573C6E2" w14:textId="3954B4DA" w:rsidR="001163B3" w:rsidRDefault="001163B3" w:rsidP="00F60CF8">
            <w:pPr>
              <w:widowControl w:val="0"/>
              <w:autoSpaceDE w:val="0"/>
              <w:autoSpaceDN w:val="0"/>
              <w:adjustRightInd w:val="0"/>
              <w:jc w:val="center"/>
            </w:pPr>
            <w:r>
              <w:lastRenderedPageBreak/>
              <w:t>8.3.</w:t>
            </w:r>
          </w:p>
        </w:tc>
        <w:tc>
          <w:tcPr>
            <w:tcW w:w="2293" w:type="pct"/>
            <w:tcMar>
              <w:top w:w="102" w:type="dxa"/>
              <w:left w:w="62" w:type="dxa"/>
              <w:bottom w:w="102" w:type="dxa"/>
              <w:right w:w="62" w:type="dxa"/>
            </w:tcMar>
          </w:tcPr>
          <w:p w14:paraId="114AD5F4" w14:textId="1ADF4C68" w:rsidR="001163B3" w:rsidRDefault="00032980" w:rsidP="00F60CF8">
            <w:pPr>
              <w:rPr>
                <w:i/>
                <w:u w:val="single"/>
              </w:rPr>
            </w:pPr>
            <w:r w:rsidRPr="003C1B5B">
              <w:rPr>
                <w:i/>
                <w:u w:val="single"/>
              </w:rPr>
              <w:t>Российский союз промышленников</w:t>
            </w:r>
          </w:p>
          <w:p w14:paraId="0382EA95" w14:textId="77777777" w:rsidR="003C1B5B" w:rsidRPr="003C1B5B" w:rsidRDefault="003C1B5B" w:rsidP="00F60CF8">
            <w:pPr>
              <w:rPr>
                <w:i/>
                <w:u w:val="single"/>
              </w:rPr>
            </w:pPr>
          </w:p>
          <w:p w14:paraId="135955C4" w14:textId="3A7DCA89" w:rsidR="00C23F14" w:rsidRDefault="00C23F14" w:rsidP="00C23F14">
            <w:r>
              <w:t>Комиссия РСПП по металлургическому комплексу рассмотрела проект постановления Правительства РФ «О внесении изменений в постановление Правительства Российской Федерации от 26 февраля 2021 г. № 270» (далее</w:t>
            </w:r>
            <w:r w:rsidR="00290E8F">
              <w:t xml:space="preserve"> </w:t>
            </w:r>
            <w:r>
              <w:t xml:space="preserve">-Проект) и сообщает следующее. </w:t>
            </w:r>
          </w:p>
          <w:p w14:paraId="653BED88" w14:textId="77777777" w:rsidR="00C23F14" w:rsidRDefault="00C23F14" w:rsidP="00C23F14">
            <w:r>
              <w:t>Проектом постановления предлагается установить, что с 1 сентября 2024 г.  вывод из оборота продукции, ювелирных изделий при их реализации конечным потребителям (физическим лицам) осуществляется в магазинах розничной торговли посредством модуля ГИИС ДМДК. В настоящее время, согласно законодательству, вывод из оборота ювелирных изделий осуществляется посредством ГИИС ДМДК головным офисом организации.</w:t>
            </w:r>
          </w:p>
          <w:p w14:paraId="4714767D" w14:textId="77777777" w:rsidR="00C23F14" w:rsidRDefault="00C23F14" w:rsidP="00C23F14">
            <w:r>
              <w:lastRenderedPageBreak/>
              <w:t xml:space="preserve">Реализация вышеуказанного процесса в учетной системе ГИИС ДМДК требует от предприятий розничной торговли, особенно крупных торговых сетей, в управлении которых находятся несколько сотен магазинов розничной торговли, колоссальных трудовых, финансовых, административных и технических затрат. </w:t>
            </w:r>
          </w:p>
          <w:p w14:paraId="77126B74" w14:textId="77777777" w:rsidR="00C23F14" w:rsidRDefault="00C23F14" w:rsidP="00C23F14">
            <w:r>
              <w:t>В связи с высокой нагрузкой на ГИИС ДМДК на текущий момент система работает не стабильно и достаточно медленно. Введение обязанности отражать дополнительно огромное количество внутренних перемещений (возвратов) между розничными магазинами одной сети еще более замедлит работу торговых точек. Ошибки при перемещении одного изделия (УИНа) могут заблокировать продажи по всем товарам в документе перемещения (в документе перемещения содержится информация не по одной товарной позиции). Розничные магазины не укомплектованы сотрудниками технической поддержки, которые могут оперативно разобраться и решить проблему с ГИИС ДМДК.</w:t>
            </w:r>
          </w:p>
          <w:p w14:paraId="18B13D60" w14:textId="77777777" w:rsidR="00C23F14" w:rsidRDefault="00C23F14" w:rsidP="00C23F14">
            <w:r>
              <w:t xml:space="preserve">Обеспечение движения (отражение в ГИИС ДМДК) ювелирных изделий между всеми розничными магазинами одной торговой сети потребует обеспечения технической поддержки большого количества дополнительных компьютеров на местах, цифровых подписей (ЭЦП) на каждом компьютере, которые требуют постоянного обновления и перевыпуска через ФНС России. </w:t>
            </w:r>
          </w:p>
          <w:p w14:paraId="628C45A5" w14:textId="77777777" w:rsidR="00C23F14" w:rsidRDefault="00C23F14" w:rsidP="00C23F14">
            <w:r>
              <w:t xml:space="preserve">Возникновение ошибки на любом из этапов приведет к риску блокировки реализации товара и потери прибыли предприятия. </w:t>
            </w:r>
          </w:p>
          <w:p w14:paraId="3A58A681" w14:textId="77777777" w:rsidR="00C23F14" w:rsidRDefault="00C23F14" w:rsidP="00C23F14">
            <w:r>
              <w:t>Несмотря на то, что транспортный модуль ГИИС ДМДК предоставляется организациям-участникам ГИИС ДМДК на безвозмездной основе и доступен к скачиваю с официального сайта ГИИС ДМДК, предприятия несут колоссальные расходы на программно-аппаратные комплексы и ЭЦП в каждом розничном магазине. Временные затраты и расходы на изменение бизнес-</w:t>
            </w:r>
            <w:r>
              <w:lastRenderedPageBreak/>
              <w:t>процессов приемки (внутреннего перемещения) ювелирных изделий между большим количеством розничных магазинов, входящих в федеральные и региональные торговые сети. Затраты на поддержание взаимодействия с ГИИС ДМДК по выводу из оборота ювелирных изделий в каждом розничном магазине, входящем в федеральные и региональные торговые сети.</w:t>
            </w:r>
          </w:p>
          <w:p w14:paraId="75F87B5A" w14:textId="77777777" w:rsidR="00C23F14" w:rsidRDefault="00C23F14" w:rsidP="00C23F14">
            <w:r>
              <w:t xml:space="preserve">Необходимо отметить, что уже сейчас при выбытии ювелирного изделия (УИНа) указывается номер ККТ магазина, в котором оно было продано и в системе отражено фактическое место реализации изделия, следовательно, обеспечивается полная прослеживаемость оборота ювелирных изделий. </w:t>
            </w:r>
          </w:p>
          <w:p w14:paraId="58A11964" w14:textId="77777777" w:rsidR="00C23F14" w:rsidRDefault="00C23F14" w:rsidP="00C23F14">
            <w:r>
              <w:t>В связи с вышеизложенным, считаем необходимым в настоящее время исключить из проекта постановления требование по обязательному выводу из оборота ювелирных изделий в розничных магазинах посредством модуля ГИИС ДМДК или установить переходных период не менее 1 года для возможности вывода из оборота продукции, ювелирных изделий при их реализации конечным потребителям (физическим лицам) головным офисом организации и перенастройки бизнес – процессов предприятий для обеспечения выполнения требований по выводу из оборота ювелирных изделий в магазинах розничной торговли посредством модуля ГИИС ДМДК.</w:t>
            </w:r>
          </w:p>
          <w:p w14:paraId="15A17A69" w14:textId="2E3DBB65" w:rsidR="00032980" w:rsidRPr="003919EB" w:rsidRDefault="00032980" w:rsidP="00F60CF8"/>
        </w:tc>
        <w:tc>
          <w:tcPr>
            <w:tcW w:w="845" w:type="pct"/>
          </w:tcPr>
          <w:p w14:paraId="6EE1CB5C" w14:textId="5AE2A7C7" w:rsidR="001163B3" w:rsidRPr="00FB4717" w:rsidRDefault="001801F9" w:rsidP="00084CC9">
            <w:pPr>
              <w:widowControl w:val="0"/>
              <w:autoSpaceDE w:val="0"/>
              <w:autoSpaceDN w:val="0"/>
              <w:adjustRightInd w:val="0"/>
              <w:ind w:left="96"/>
              <w:jc w:val="center"/>
            </w:pPr>
            <w:r>
              <w:lastRenderedPageBreak/>
              <w:t>Учтено частично</w:t>
            </w:r>
            <w:r w:rsidR="00C461F9">
              <w:t>.</w:t>
            </w:r>
          </w:p>
        </w:tc>
        <w:tc>
          <w:tcPr>
            <w:tcW w:w="1674" w:type="pct"/>
            <w:tcMar>
              <w:top w:w="102" w:type="dxa"/>
              <w:left w:w="62" w:type="dxa"/>
              <w:bottom w:w="102" w:type="dxa"/>
              <w:right w:w="62" w:type="dxa"/>
            </w:tcMar>
          </w:tcPr>
          <w:p w14:paraId="6743719E" w14:textId="0EA2F1DC" w:rsidR="001163B3" w:rsidRPr="00F50EF8" w:rsidRDefault="00517C8A" w:rsidP="00517C8A">
            <w:pPr>
              <w:widowControl w:val="0"/>
              <w:autoSpaceDE w:val="0"/>
              <w:autoSpaceDN w:val="0"/>
              <w:adjustRightInd w:val="0"/>
              <w:ind w:left="18"/>
            </w:pPr>
            <w:r>
              <w:t>В целях снижения административной нагрузки на</w:t>
            </w:r>
            <w:r w:rsidRPr="00A12FE5">
              <w:t xml:space="preserve"> субъекты предпринимательства</w:t>
            </w:r>
            <w:r>
              <w:t xml:space="preserve"> в ГИИС ДМДК реализована возможность отправки спецификаций между подразделениями одной организации </w:t>
            </w:r>
            <w:r w:rsidRPr="000C4B67">
              <w:rPr>
                <w:u w:val="single"/>
              </w:rPr>
              <w:t>без подписания электронной подписью</w:t>
            </w:r>
            <w:r>
              <w:rPr>
                <w:u w:val="single"/>
              </w:rPr>
              <w:t>.</w:t>
            </w:r>
          </w:p>
        </w:tc>
      </w:tr>
      <w:tr w:rsidR="008E6F22" w:rsidRPr="00FB4717" w14:paraId="23F6C20B" w14:textId="77777777" w:rsidTr="00094368">
        <w:trPr>
          <w:gridAfter w:val="1"/>
          <w:wAfter w:w="5" w:type="pct"/>
          <w:trHeight w:val="147"/>
          <w:jc w:val="center"/>
        </w:trPr>
        <w:tc>
          <w:tcPr>
            <w:tcW w:w="183" w:type="pct"/>
            <w:tcMar>
              <w:top w:w="102" w:type="dxa"/>
              <w:left w:w="62" w:type="dxa"/>
              <w:bottom w:w="102" w:type="dxa"/>
              <w:right w:w="62" w:type="dxa"/>
            </w:tcMar>
          </w:tcPr>
          <w:p w14:paraId="167D5AC2" w14:textId="7CFB6695" w:rsidR="008E6F22" w:rsidRDefault="008E6F22" w:rsidP="00F60CF8">
            <w:pPr>
              <w:widowControl w:val="0"/>
              <w:autoSpaceDE w:val="0"/>
              <w:autoSpaceDN w:val="0"/>
              <w:adjustRightInd w:val="0"/>
              <w:jc w:val="center"/>
            </w:pPr>
            <w:r>
              <w:lastRenderedPageBreak/>
              <w:t>8.4.</w:t>
            </w:r>
          </w:p>
        </w:tc>
        <w:tc>
          <w:tcPr>
            <w:tcW w:w="2293" w:type="pct"/>
            <w:tcMar>
              <w:top w:w="102" w:type="dxa"/>
              <w:left w:w="62" w:type="dxa"/>
              <w:bottom w:w="102" w:type="dxa"/>
              <w:right w:w="62" w:type="dxa"/>
            </w:tcMar>
          </w:tcPr>
          <w:p w14:paraId="3ADB5E43" w14:textId="19B399C5" w:rsidR="008E6F22" w:rsidRPr="00BF1676" w:rsidRDefault="008D27DD" w:rsidP="00F60CF8">
            <w:pPr>
              <w:rPr>
                <w:i/>
                <w:u w:val="single"/>
              </w:rPr>
            </w:pPr>
            <w:r w:rsidRPr="00BF1676">
              <w:rPr>
                <w:i/>
                <w:u w:val="single"/>
              </w:rPr>
              <w:t xml:space="preserve">Торгово-промышленная палата Российской Федерации </w:t>
            </w:r>
            <w:hyperlink r:id="rId8" w:history="1">
              <w:r w:rsidRPr="00BF1676">
                <w:rPr>
                  <w:rStyle w:val="af1"/>
                  <w:i/>
                </w:rPr>
                <w:t>timofeeva@tpprf.ru</w:t>
              </w:r>
            </w:hyperlink>
          </w:p>
          <w:p w14:paraId="65D59220" w14:textId="77777777" w:rsidR="005A005E" w:rsidRPr="005D0D5A" w:rsidRDefault="005A005E" w:rsidP="00F15AB5">
            <w:pPr>
              <w:jc w:val="both"/>
            </w:pPr>
            <w:r w:rsidRPr="005D0D5A">
              <w:t xml:space="preserve">1. В целях исключения положений, вводящих избыточные административные и иные ограничения и обязанности участников рынка ДМДК </w:t>
            </w:r>
            <w:r>
              <w:t xml:space="preserve">предлагается </w:t>
            </w:r>
            <w:r w:rsidRPr="005D0D5A">
              <w:t xml:space="preserve">предусмотреть возможность выбора способа идентификации продукции </w:t>
            </w:r>
            <w:r w:rsidRPr="000B0C94">
              <w:t>путем нанесения</w:t>
            </w:r>
            <w:r w:rsidRPr="005D0D5A">
              <w:t xml:space="preserve"> средств </w:t>
            </w:r>
            <w:r w:rsidRPr="005D0D5A">
              <w:lastRenderedPageBreak/>
              <w:t xml:space="preserve">идентификации ДМДК </w:t>
            </w:r>
            <w:r>
              <w:t xml:space="preserve">либо по выбору: </w:t>
            </w:r>
            <w:r w:rsidRPr="000B0C94">
              <w:t xml:space="preserve">на </w:t>
            </w:r>
            <w:r w:rsidRPr="005D0D5A">
              <w:t>упаковку, этикетку, бирку, ярлык, либо на сопровождающие документы, в том числе сертификат (например, товарно-транспортная накладная, товарная накладная, спецификация и т.п.).</w:t>
            </w:r>
          </w:p>
          <w:p w14:paraId="11227DAB" w14:textId="77777777" w:rsidR="008D27DD" w:rsidRDefault="005A005E" w:rsidP="00F15AB5">
            <w:r w:rsidRPr="005D0D5A">
              <w:t xml:space="preserve">2. Выбор способа идентификации </w:t>
            </w:r>
            <w:r w:rsidRPr="005A227C">
              <w:t>ДМДК</w:t>
            </w:r>
            <w:r w:rsidRPr="005D0D5A">
              <w:t xml:space="preserve"> позволит сократить трудозатраты при оформлении (маркировки) партий ДМДК большого объема (например, партий руды). При этом большие объемы руды невозможно идентифицировать с использованием упаковки, этикетки, бирки, ярлыка из-за насыпного характера груза. Также не всегда возможно нанести идентификационный номер партии (ИНП) на товарно-транспортные накладные, товарные накладные, спецификации и т. п. из-за нескольких стадий перевалки груза, при которых выписываются новые сопровождающие документы. Возможна идентификация только с помощью нанесения ИНП на сертификат, который создается на фабрике производителя.</w:t>
            </w:r>
          </w:p>
          <w:p w14:paraId="6F50D2FA" w14:textId="77777777" w:rsidR="005A005E" w:rsidRPr="005D0D5A" w:rsidRDefault="005A005E" w:rsidP="00F15AB5">
            <w:pPr>
              <w:jc w:val="both"/>
            </w:pPr>
            <w:r w:rsidRPr="005D0D5A">
              <w:t>Предлагается следующая редакция:</w:t>
            </w:r>
          </w:p>
          <w:p w14:paraId="0ABAB21E" w14:textId="77777777" w:rsidR="005A005E" w:rsidRPr="005D0D5A" w:rsidRDefault="005A005E" w:rsidP="00F15AB5">
            <w:pPr>
              <w:jc w:val="both"/>
            </w:pPr>
            <w:r w:rsidRPr="005D0D5A">
              <w:t>«абзацы тридцать шестой и тридцать седьмой изложить в следующей редакции:</w:t>
            </w:r>
          </w:p>
          <w:p w14:paraId="374FCE97" w14:textId="77777777" w:rsidR="005A005E" w:rsidRPr="005D0D5A" w:rsidRDefault="005A005E" w:rsidP="00F15AB5">
            <w:pPr>
              <w:jc w:val="both"/>
            </w:pPr>
            <w:r w:rsidRPr="005D0D5A">
              <w:t xml:space="preserve">«идентификация продукции» - нанесение в соответствии с настоящими Правилами идентификационного номера партии на упаковку, этикетку, бирку, ярлык </w:t>
            </w:r>
            <w:r w:rsidRPr="005D0D5A">
              <w:rPr>
                <w:b/>
              </w:rPr>
              <w:t>или</w:t>
            </w:r>
            <w:r w:rsidRPr="005D0D5A">
              <w:t xml:space="preserve"> документы, сопровождающие продукцию, </w:t>
            </w:r>
            <w:r w:rsidRPr="005D0D5A">
              <w:rPr>
                <w:b/>
              </w:rPr>
              <w:t>в том числе сертификат,</w:t>
            </w:r>
            <w:r w:rsidRPr="005D0D5A">
              <w:t xml:space="preserve"> либо уникального идентификационного номера и двухмерного штрихового кода на сертификаты (паспорта) слитков аффин</w:t>
            </w:r>
            <w:r>
              <w:t>ированных драгоценных металлов;</w:t>
            </w:r>
          </w:p>
          <w:p w14:paraId="132DE42B" w14:textId="77777777" w:rsidR="005A005E" w:rsidRDefault="005A005E" w:rsidP="00F15AB5">
            <w:r w:rsidRPr="005D0D5A">
              <w:t xml:space="preserve"> «идентифицированная продукция» - продукция, на этикетку, бирку, ярлык, упаковку </w:t>
            </w:r>
            <w:r w:rsidRPr="005D0D5A">
              <w:rPr>
                <w:b/>
              </w:rPr>
              <w:t>или</w:t>
            </w:r>
            <w:r w:rsidRPr="005D0D5A">
              <w:t xml:space="preserve"> на документы, ее сопровождающие, </w:t>
            </w:r>
            <w:r w:rsidRPr="005D0D5A">
              <w:rPr>
                <w:b/>
              </w:rPr>
              <w:t>в том числе сертификат,</w:t>
            </w:r>
            <w:r w:rsidRPr="005D0D5A">
              <w:t xml:space="preserve"> нанесен идентификационный номер партии либо на сертификаты (паспорта) слитков аффинированных драгоценных металлов нанесены уникальный идентификационный </w:t>
            </w:r>
            <w:r w:rsidRPr="005D0D5A">
              <w:lastRenderedPageBreak/>
              <w:t>номер и двухмерный штриховой код с соблюдением требований настоящих Правил и достоверные сведения о которой содержатся в ГИИС ДМДК;»</w:t>
            </w:r>
            <w:r>
              <w:t>.</w:t>
            </w:r>
          </w:p>
          <w:p w14:paraId="4857FF98" w14:textId="532A3BAF" w:rsidR="005A005E" w:rsidRPr="00A12FE5" w:rsidRDefault="00AE4769" w:rsidP="00F15AB5">
            <w:pPr>
              <w:jc w:val="both"/>
            </w:pPr>
            <w:r>
              <w:t>3.</w:t>
            </w:r>
            <w:r w:rsidR="00F13CAC">
              <w:t xml:space="preserve"> </w:t>
            </w:r>
            <w:r w:rsidR="005A005E" w:rsidRPr="00A12FE5">
              <w:t xml:space="preserve">В настоящее время обязательной к внесению в ГИИС ДМДК является следующая информация о физическом лице: </w:t>
            </w:r>
          </w:p>
          <w:p w14:paraId="72F539CA" w14:textId="77777777" w:rsidR="005A005E" w:rsidRPr="00A12FE5" w:rsidRDefault="005A005E" w:rsidP="00F15AB5">
            <w:pPr>
              <w:jc w:val="both"/>
            </w:pPr>
            <w:r w:rsidRPr="00A12FE5">
              <w:t>фамилия, имя, отчество (при наличии)</w:t>
            </w:r>
            <w:r>
              <w:t>;</w:t>
            </w:r>
            <w:r w:rsidRPr="00A12FE5">
              <w:t xml:space="preserve"> </w:t>
            </w:r>
          </w:p>
          <w:p w14:paraId="44B6F6D7" w14:textId="77777777" w:rsidR="005A005E" w:rsidRPr="00A12FE5" w:rsidRDefault="005A005E" w:rsidP="00F15AB5">
            <w:pPr>
              <w:jc w:val="both"/>
            </w:pPr>
            <w:r>
              <w:t>число, месяц и год рождения;</w:t>
            </w:r>
            <w:r w:rsidRPr="00A12FE5">
              <w:t xml:space="preserve"> </w:t>
            </w:r>
          </w:p>
          <w:p w14:paraId="3A2864B5" w14:textId="77777777" w:rsidR="005A005E" w:rsidRPr="00A12FE5" w:rsidRDefault="005A005E" w:rsidP="00F15AB5">
            <w:pPr>
              <w:jc w:val="both"/>
            </w:pPr>
            <w:r w:rsidRPr="00A12FE5">
              <w:t>адрес (не конкретизирован</w:t>
            </w:r>
            <w:r>
              <w:t>о -</w:t>
            </w:r>
            <w:r w:rsidRPr="00A12FE5">
              <w:t xml:space="preserve"> какой именно адрес</w:t>
            </w:r>
            <w:r>
              <w:t>:</w:t>
            </w:r>
            <w:r w:rsidRPr="00A12FE5">
              <w:t xml:space="preserve"> регистрации или адрес проживания)</w:t>
            </w:r>
            <w:r>
              <w:t>;</w:t>
            </w:r>
          </w:p>
          <w:p w14:paraId="3AAC3BFC" w14:textId="77777777" w:rsidR="005A005E" w:rsidRPr="00A12FE5" w:rsidRDefault="005A005E" w:rsidP="00F15AB5">
            <w:pPr>
              <w:jc w:val="both"/>
            </w:pPr>
            <w:r w:rsidRPr="00A12FE5">
              <w:t>сведения о документе, удостоверяющем личность.</w:t>
            </w:r>
          </w:p>
          <w:p w14:paraId="7C861047" w14:textId="77777777" w:rsidR="005A005E" w:rsidRPr="00A12FE5" w:rsidRDefault="005A005E" w:rsidP="00F15AB5">
            <w:pPr>
              <w:jc w:val="both"/>
            </w:pPr>
            <w:r>
              <w:t>Проектируемое</w:t>
            </w:r>
            <w:r w:rsidRPr="00A12FE5">
              <w:t xml:space="preserve"> </w:t>
            </w:r>
            <w:r>
              <w:t>расширение</w:t>
            </w:r>
            <w:r w:rsidRPr="00A12FE5">
              <w:t xml:space="preserve"> переч</w:t>
            </w:r>
            <w:r>
              <w:t>ня</w:t>
            </w:r>
            <w:r w:rsidRPr="00A12FE5">
              <w:t xml:space="preserve"> информации, подлежащей внесению в ГИИС ДМДК в отношении физических лиц при совершении с указанными лицами залоговых операций, операций по скупке, заготовке и т.</w:t>
            </w:r>
            <w:r>
              <w:t> </w:t>
            </w:r>
            <w:r w:rsidRPr="00A12FE5">
              <w:t>д. представля</w:t>
            </w:r>
            <w:r>
              <w:t>е</w:t>
            </w:r>
            <w:r w:rsidRPr="00A12FE5">
              <w:t>тся чрезмерным, вле</w:t>
            </w:r>
            <w:r>
              <w:t>чет</w:t>
            </w:r>
            <w:r w:rsidRPr="00A12FE5">
              <w:t xml:space="preserve"> дополнительную нагрузку на субъекты предпринимательства, не соответству</w:t>
            </w:r>
            <w:r>
              <w:t>е</w:t>
            </w:r>
            <w:r w:rsidRPr="00A12FE5">
              <w:t>т требованиям законодательства в сфере ПОД/ФТ в части идентификации физических лиц в силу следующего.</w:t>
            </w:r>
          </w:p>
          <w:p w14:paraId="3E2B7CEA" w14:textId="77777777" w:rsidR="005A005E" w:rsidRPr="00A12FE5" w:rsidRDefault="005A005E" w:rsidP="00F15AB5">
            <w:pPr>
              <w:jc w:val="both"/>
            </w:pPr>
            <w:r w:rsidRPr="00A12FE5">
              <w:t>Согласно части 2 статьи 1, статье 18 Г</w:t>
            </w:r>
            <w:r>
              <w:t>ражданского кодекса</w:t>
            </w:r>
            <w:r w:rsidRPr="00A12FE5">
              <w:t xml:space="preserve"> РФ физические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Граждане могут совершать любые не противоречащие закону сделки и участвовать в обязательствах.</w:t>
            </w:r>
          </w:p>
          <w:p w14:paraId="2563E012" w14:textId="77777777" w:rsidR="005A005E" w:rsidRPr="0008587E" w:rsidRDefault="005A005E" w:rsidP="00F15AB5">
            <w:pPr>
              <w:jc w:val="both"/>
            </w:pPr>
            <w:r w:rsidRPr="00A12FE5">
              <w:lastRenderedPageBreak/>
              <w:t xml:space="preserve">Праву физических лиц осуществлять свои гражданские права корреспондирует обязанность </w:t>
            </w:r>
            <w:r w:rsidRPr="0008587E">
              <w:t>юридических лиц, осуществляющих операции с денежными средствами или иным имуществом, до приема физических лиц на обслуживание идентифицировать клиента</w:t>
            </w:r>
            <w:r w:rsidRPr="00A12FE5">
              <w:t xml:space="preserve"> (установленная ст</w:t>
            </w:r>
            <w:r>
              <w:t>атьей</w:t>
            </w:r>
            <w:r w:rsidRPr="00A12FE5">
              <w:t xml:space="preserve"> 7 Федерального закона от 07.08.2001 </w:t>
            </w:r>
            <w:r>
              <w:t>№ </w:t>
            </w:r>
            <w:r w:rsidRPr="00A12FE5">
              <w:t xml:space="preserve">115-ФЗ «О противодействии легализации (отмыванию) доходов, полученных преступным путем, и финансированию терроризма», далее – </w:t>
            </w:r>
            <w:r>
              <w:t>Закон №</w:t>
            </w:r>
            <w:r>
              <w:rPr>
                <w:b/>
              </w:rPr>
              <w:t> </w:t>
            </w:r>
            <w:r w:rsidRPr="00A12FE5">
              <w:t>115-ФЗ)</w:t>
            </w:r>
            <w:r w:rsidRPr="0008587E">
              <w:t>.</w:t>
            </w:r>
          </w:p>
          <w:p w14:paraId="0397DBD3" w14:textId="77777777" w:rsidR="005A005E" w:rsidRPr="00A12FE5" w:rsidRDefault="005A005E" w:rsidP="00F15AB5">
            <w:pPr>
              <w:jc w:val="both"/>
            </w:pPr>
            <w:r w:rsidRPr="00A12FE5">
              <w:t xml:space="preserve">При этом согласно </w:t>
            </w:r>
            <w:r>
              <w:t>подпункту 1.1 пункта 1 статьи 7 Закона № </w:t>
            </w:r>
            <w:r w:rsidRPr="00A12FE5">
              <w:t>115-ФЗ в отношении физических лиц необходимо установление следующих сведений:</w:t>
            </w:r>
          </w:p>
          <w:p w14:paraId="73D8D37D" w14:textId="77777777" w:rsidR="005A005E" w:rsidRPr="00A12FE5" w:rsidRDefault="005A005E" w:rsidP="00F15AB5">
            <w:pPr>
              <w:jc w:val="both"/>
            </w:pPr>
            <w:r w:rsidRPr="00A12FE5">
              <w:t xml:space="preserve">фамилия, имя, отчество (при наличии), гражданство, </w:t>
            </w:r>
          </w:p>
          <w:p w14:paraId="60365832" w14:textId="77777777" w:rsidR="005A005E" w:rsidRPr="00A12FE5" w:rsidRDefault="005A005E" w:rsidP="00F15AB5">
            <w:pPr>
              <w:jc w:val="both"/>
            </w:pPr>
            <w:r w:rsidRPr="00A12FE5">
              <w:t>дата рождения,</w:t>
            </w:r>
          </w:p>
          <w:p w14:paraId="1FE264B0" w14:textId="77777777" w:rsidR="005A005E" w:rsidRPr="00A12FE5" w:rsidRDefault="005A005E" w:rsidP="00F15AB5">
            <w:pPr>
              <w:jc w:val="both"/>
            </w:pPr>
            <w:r w:rsidRPr="00A12FE5">
              <w:t xml:space="preserve">реквизиты документа, удостоверяющего личность, </w:t>
            </w:r>
          </w:p>
          <w:p w14:paraId="4B3D6457" w14:textId="77777777" w:rsidR="005A005E" w:rsidRPr="00A12FE5" w:rsidRDefault="005A005E" w:rsidP="00F15AB5">
            <w:pPr>
              <w:jc w:val="both"/>
            </w:pPr>
            <w:r w:rsidRPr="00A12FE5">
              <w:t>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w:t>
            </w:r>
          </w:p>
          <w:p w14:paraId="0D3F447C" w14:textId="77777777" w:rsidR="005A005E" w:rsidRPr="00A12FE5" w:rsidRDefault="005A005E" w:rsidP="00F15AB5">
            <w:pPr>
              <w:jc w:val="both"/>
            </w:pPr>
            <w:r w:rsidRPr="00A12FE5">
              <w:t xml:space="preserve">адрес места жительства (регистрации) </w:t>
            </w:r>
            <w:r w:rsidRPr="00A12FE5">
              <w:rPr>
                <w:b/>
              </w:rPr>
              <w:t xml:space="preserve">или </w:t>
            </w:r>
            <w:r w:rsidRPr="00A12FE5">
              <w:t xml:space="preserve">места пребывания, </w:t>
            </w:r>
          </w:p>
          <w:p w14:paraId="4F330B95" w14:textId="77777777" w:rsidR="005A005E" w:rsidRPr="00A12FE5" w:rsidRDefault="005A005E" w:rsidP="00F15AB5">
            <w:pPr>
              <w:jc w:val="both"/>
            </w:pPr>
            <w:r w:rsidRPr="00A12FE5">
              <w:t xml:space="preserve">идентификационный номер налогоплательщика </w:t>
            </w:r>
            <w:r w:rsidRPr="00A12FE5">
              <w:rPr>
                <w:b/>
              </w:rPr>
              <w:t>(при его наличии)</w:t>
            </w:r>
            <w:r>
              <w:t>.</w:t>
            </w:r>
          </w:p>
          <w:p w14:paraId="7450385B" w14:textId="77777777" w:rsidR="005A005E" w:rsidRPr="00A12FE5" w:rsidRDefault="005A005E" w:rsidP="00F15AB5">
            <w:pPr>
              <w:jc w:val="both"/>
            </w:pPr>
            <w:r w:rsidRPr="00A12FE5">
              <w:t xml:space="preserve">Аналогичный состав сведений содержится в </w:t>
            </w:r>
            <w:r>
              <w:t>п</w:t>
            </w:r>
            <w:r w:rsidRPr="00A12FE5">
              <w:t xml:space="preserve">риказе Росфинмониторинга от 20.05.2022 </w:t>
            </w:r>
            <w:r>
              <w:t>№ </w:t>
            </w:r>
            <w:r w:rsidRPr="00A12FE5">
              <w:t>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p>
          <w:p w14:paraId="448EE41C" w14:textId="77777777" w:rsidR="005A005E" w:rsidRPr="004B26E7" w:rsidRDefault="005A005E" w:rsidP="00F15AB5">
            <w:pPr>
              <w:jc w:val="both"/>
            </w:pPr>
            <w:r w:rsidRPr="00A12FE5">
              <w:t xml:space="preserve">Таким образом, </w:t>
            </w:r>
            <w:r w:rsidRPr="004B26E7">
              <w:t xml:space="preserve">в рамках законодательства в сфере ПОД/ФТ для идентификации клиента не требуется место рождения клиента; устанавливается или адрес места жительства (регистрации) или адрес </w:t>
            </w:r>
            <w:r w:rsidRPr="004B26E7">
              <w:lastRenderedPageBreak/>
              <w:t>места пребывания, а не оба сразу; ИНН вносится при наличии; установлен иной пакет документов для иностранных граждан.</w:t>
            </w:r>
          </w:p>
          <w:p w14:paraId="38D1D320" w14:textId="77777777" w:rsidR="005A005E" w:rsidRPr="004B26E7" w:rsidRDefault="005A005E" w:rsidP="00F15AB5">
            <w:pPr>
              <w:jc w:val="both"/>
            </w:pPr>
            <w:r w:rsidRPr="004B26E7">
              <w:t>Указанные сведения фиксируются в Анкете клиента и хранятся в досье клиента. В рамках законодательства о ПОД/ФТ субъекты предпринимательства обязаны осуществлять иные дополнительные мероприятия в целях идентификации клиента.</w:t>
            </w:r>
          </w:p>
          <w:p w14:paraId="42FF091B" w14:textId="77777777" w:rsidR="005A005E" w:rsidRDefault="005A005E" w:rsidP="00F15AB5">
            <w:r w:rsidRPr="00A12FE5">
              <w:t xml:space="preserve">На основании изложенного предлагается либо исключить подпункт в) пункта 4 </w:t>
            </w:r>
            <w:r>
              <w:t xml:space="preserve">проекта </w:t>
            </w:r>
            <w:r w:rsidRPr="00A12FE5">
              <w:t xml:space="preserve">Изменений, поскольку сведения о клиенте собираются в рамках законодательства в сфере ПОД/ФТ и фиксируются в предусмотренных указанным законодательством документах, либо привести подпункт в) пункта 4 Изменений в соответствие с нормами законодательства в сфере ПОД/ФТ, изложив его в </w:t>
            </w:r>
            <w:r>
              <w:t>предлагаемой</w:t>
            </w:r>
            <w:r w:rsidRPr="00A12FE5">
              <w:t xml:space="preserve"> редакции.</w:t>
            </w:r>
          </w:p>
          <w:p w14:paraId="4D0D355D" w14:textId="77777777" w:rsidR="005A005E" w:rsidRPr="00A12FE5" w:rsidRDefault="005A005E" w:rsidP="00F15AB5">
            <w:pPr>
              <w:jc w:val="both"/>
              <w:rPr>
                <w:b/>
              </w:rPr>
            </w:pPr>
            <w:r>
              <w:t>Предлагается и</w:t>
            </w:r>
            <w:r w:rsidRPr="00A12FE5">
              <w:t>сключить</w:t>
            </w:r>
            <w:r>
              <w:t xml:space="preserve"> либо и</w:t>
            </w:r>
            <w:r w:rsidRPr="00A12FE5">
              <w:t xml:space="preserve">зложить в </w:t>
            </w:r>
            <w:r>
              <w:t>следующей</w:t>
            </w:r>
            <w:r w:rsidRPr="00A12FE5">
              <w:t xml:space="preserve"> редакции в соответствии с законодательством о противодействии легализации (отмыванию) доходов, полученных преступным путем, и финансированию терроризма</w:t>
            </w:r>
            <w:r>
              <w:t xml:space="preserve"> (</w:t>
            </w:r>
            <w:r w:rsidRPr="00A12FE5">
              <w:t>ПОД/ФТ</w:t>
            </w:r>
            <w:r>
              <w:t>):</w:t>
            </w:r>
          </w:p>
          <w:p w14:paraId="0EC50CF3" w14:textId="77777777" w:rsidR="005A005E" w:rsidRPr="00A12FE5" w:rsidRDefault="005A005E" w:rsidP="00F15AB5">
            <w:pPr>
              <w:jc w:val="both"/>
            </w:pPr>
            <w:r>
              <w:t>«</w:t>
            </w:r>
            <w:r w:rsidRPr="00A12FE5">
              <w:t>в) пункт 20 дополнить подпунктом «н» следующего содержания:</w:t>
            </w:r>
          </w:p>
          <w:p w14:paraId="620F9506" w14:textId="388E89CA" w:rsidR="005A005E" w:rsidRPr="00032980" w:rsidRDefault="005A005E" w:rsidP="00F15AB5">
            <w:r w:rsidRPr="00A12FE5">
              <w:t xml:space="preserve">«н) сведения, содержащиеся в залоговом билете, скупочной квитанции, договоре комиссии и (или) купли-продажи (фамилия, имя, отчество (при наличии), число, месяц и год рождения, адрес регистрации </w:t>
            </w:r>
            <w:r w:rsidRPr="00A12FE5">
              <w:rPr>
                <w:b/>
              </w:rPr>
              <w:t>или</w:t>
            </w:r>
            <w:r w:rsidRPr="00A12FE5">
              <w:t xml:space="preserve"> адрес проживания, сведения о документе, удостоверяющем личность (тип, серия, номер, дата выдачи, кем выдан), для физических лиц-резидентов – ИНН </w:t>
            </w:r>
            <w:r w:rsidRPr="00A12FE5">
              <w:rPr>
                <w:b/>
              </w:rPr>
              <w:t>(при наличии)</w:t>
            </w:r>
            <w:r w:rsidRPr="00776032">
              <w:rPr>
                <w:b/>
              </w:rPr>
              <w:t>.»;».</w:t>
            </w:r>
          </w:p>
        </w:tc>
        <w:tc>
          <w:tcPr>
            <w:tcW w:w="845" w:type="pct"/>
          </w:tcPr>
          <w:p w14:paraId="7FB81A5D" w14:textId="2ECF0F4C" w:rsidR="00D137D8" w:rsidRDefault="00D137D8" w:rsidP="00D137D8">
            <w:pPr>
              <w:widowControl w:val="0"/>
              <w:autoSpaceDE w:val="0"/>
              <w:autoSpaceDN w:val="0"/>
              <w:adjustRightInd w:val="0"/>
              <w:ind w:left="96"/>
            </w:pPr>
            <w:r>
              <w:lastRenderedPageBreak/>
              <w:t xml:space="preserve">1,2 </w:t>
            </w:r>
            <w:r w:rsidR="00634CCF">
              <w:t>Учтено частично</w:t>
            </w:r>
            <w:r>
              <w:t>.</w:t>
            </w:r>
          </w:p>
          <w:p w14:paraId="0AD4EB23" w14:textId="5601020A" w:rsidR="008E6F22" w:rsidRPr="00FB4717" w:rsidRDefault="00107E4D" w:rsidP="00D137D8">
            <w:pPr>
              <w:widowControl w:val="0"/>
              <w:autoSpaceDE w:val="0"/>
              <w:autoSpaceDN w:val="0"/>
              <w:adjustRightInd w:val="0"/>
              <w:ind w:left="96"/>
            </w:pPr>
            <w:r>
              <w:t>3. Учтено.</w:t>
            </w:r>
          </w:p>
        </w:tc>
        <w:tc>
          <w:tcPr>
            <w:tcW w:w="1674" w:type="pct"/>
            <w:tcMar>
              <w:top w:w="102" w:type="dxa"/>
              <w:left w:w="62" w:type="dxa"/>
              <w:bottom w:w="102" w:type="dxa"/>
              <w:right w:w="62" w:type="dxa"/>
            </w:tcMar>
          </w:tcPr>
          <w:p w14:paraId="19786D04" w14:textId="46EA8638" w:rsidR="008E6F22" w:rsidRDefault="001C6B15" w:rsidP="003D55EF">
            <w:pPr>
              <w:widowControl w:val="0"/>
              <w:autoSpaceDE w:val="0"/>
              <w:autoSpaceDN w:val="0"/>
              <w:adjustRightInd w:val="0"/>
              <w:ind w:left="18"/>
            </w:pPr>
            <w:r>
              <w:t>1</w:t>
            </w:r>
            <w:r w:rsidR="002B065B">
              <w:t>,2</w:t>
            </w:r>
            <w:r>
              <w:t>.</w:t>
            </w:r>
            <w:r w:rsidR="002B065B">
              <w:t xml:space="preserve"> Учтено в рамках проекта постановления</w:t>
            </w:r>
            <w:r w:rsidR="002B065B" w:rsidRPr="002B065B">
              <w:t xml:space="preserve"> Правительства Российской Федерации «О внесении изменений в постановление Правительства Российской Федерации от 26 февраля 2021 г. № 270»</w:t>
            </w:r>
            <w:r w:rsidR="002B065B">
              <w:t xml:space="preserve">, разработанного </w:t>
            </w:r>
            <w:r w:rsidR="002B065B" w:rsidRPr="002B065B">
              <w:t xml:space="preserve">в целях оцифровки информации о добытом минеральном </w:t>
            </w:r>
            <w:r w:rsidR="002B065B" w:rsidRPr="002B065B">
              <w:lastRenderedPageBreak/>
              <w:t>сырье, содержащем драгоценные металлы, посредством</w:t>
            </w:r>
            <w:r w:rsidR="002B065B">
              <w:t xml:space="preserve"> ГИИС ДМДК.</w:t>
            </w:r>
          </w:p>
          <w:p w14:paraId="3A2C4312" w14:textId="0CB8B0D5" w:rsidR="001C6B15" w:rsidRDefault="002B065B" w:rsidP="002B065B">
            <w:pPr>
              <w:widowControl w:val="0"/>
              <w:autoSpaceDE w:val="0"/>
              <w:autoSpaceDN w:val="0"/>
              <w:adjustRightInd w:val="0"/>
              <w:ind w:left="18"/>
            </w:pPr>
            <w:r>
              <w:t>«абзац тридцать шестой пункта 2 дополнить словами «Идентификация минерального сырья и продуктов его переработки в сыпучем виде при их перевозке без индивидуальной упаковки производится посредством нанесения идентификационного номера на документы, сопровождающие продукцию».</w:t>
            </w:r>
          </w:p>
          <w:p w14:paraId="29B1ABF7" w14:textId="5CB70477" w:rsidR="001C6B15" w:rsidRDefault="001C6B15" w:rsidP="003D55EF">
            <w:pPr>
              <w:widowControl w:val="0"/>
              <w:autoSpaceDE w:val="0"/>
              <w:autoSpaceDN w:val="0"/>
              <w:adjustRightInd w:val="0"/>
              <w:ind w:left="18"/>
            </w:pPr>
            <w:r>
              <w:t xml:space="preserve">3. </w:t>
            </w:r>
            <w:r w:rsidR="00CD1E04">
              <w:t>Полагаем возможным п</w:t>
            </w:r>
            <w:r>
              <w:t>одпункт «б» пункта 4 изложить в следующей редакции:</w:t>
            </w:r>
          </w:p>
          <w:p w14:paraId="777F8632" w14:textId="77777777" w:rsidR="001C6B15" w:rsidRDefault="001C6B15" w:rsidP="001C6B15">
            <w:pPr>
              <w:widowControl w:val="0"/>
              <w:autoSpaceDE w:val="0"/>
              <w:autoSpaceDN w:val="0"/>
              <w:adjustRightInd w:val="0"/>
              <w:ind w:left="18"/>
            </w:pPr>
            <w:r>
              <w:t>«б) пункт 20 дополнить подпунктом «н» следующего содержания:</w:t>
            </w:r>
          </w:p>
          <w:p w14:paraId="254D5D08" w14:textId="66E14993" w:rsidR="001C6B15" w:rsidRPr="00F50EF8" w:rsidRDefault="001C6B15" w:rsidP="001C6B15">
            <w:pPr>
              <w:widowControl w:val="0"/>
              <w:autoSpaceDE w:val="0"/>
              <w:autoSpaceDN w:val="0"/>
              <w:adjustRightInd w:val="0"/>
              <w:ind w:left="18"/>
            </w:pPr>
            <w:r>
              <w:t xml:space="preserve">«н) сведения, содержащиеся в залоговом билете, скупочной квитанции, договоре комиссии и (или) купли-продажи (фамилия, имя, отчество (при наличии), дата рождения, адрес места жительства (регистрации) или места пребывания, сведения о документе, удостоверяющем личность (тип, серия (при наличии), номер, дата выдачи, кем выдан), идентификационный номер налогоплательщика (ИНН) (при наличии), для иностранных граждан и лиц без гражданства – также данные документа, подтверждающего право на пребывание (проживание) в Российской Федерации (данные миграционной карты в случае отсутствия иных документов) (если наличие таких документов обязательно в соответствии с международными договорами Российской Федерации и законодательством </w:t>
            </w:r>
            <w:r>
              <w:lastRenderedPageBreak/>
              <w:t>Российской Федерации).».</w:t>
            </w:r>
          </w:p>
        </w:tc>
      </w:tr>
      <w:tr w:rsidR="00416913" w:rsidRPr="00FB4717" w14:paraId="60E4DD5B" w14:textId="77777777" w:rsidTr="00094368">
        <w:trPr>
          <w:gridAfter w:val="1"/>
          <w:wAfter w:w="5" w:type="pct"/>
          <w:trHeight w:val="147"/>
          <w:jc w:val="center"/>
        </w:trPr>
        <w:tc>
          <w:tcPr>
            <w:tcW w:w="183" w:type="pct"/>
            <w:tcMar>
              <w:top w:w="102" w:type="dxa"/>
              <w:left w:w="62" w:type="dxa"/>
              <w:bottom w:w="102" w:type="dxa"/>
              <w:right w:w="62" w:type="dxa"/>
            </w:tcMar>
          </w:tcPr>
          <w:p w14:paraId="15E4FD4B" w14:textId="14586EBC" w:rsidR="00416913" w:rsidRDefault="003A0820" w:rsidP="00F60CF8">
            <w:pPr>
              <w:widowControl w:val="0"/>
              <w:autoSpaceDE w:val="0"/>
              <w:autoSpaceDN w:val="0"/>
              <w:adjustRightInd w:val="0"/>
              <w:jc w:val="center"/>
            </w:pPr>
            <w:r>
              <w:lastRenderedPageBreak/>
              <w:t>8.5.</w:t>
            </w:r>
          </w:p>
        </w:tc>
        <w:tc>
          <w:tcPr>
            <w:tcW w:w="2293" w:type="pct"/>
            <w:tcMar>
              <w:top w:w="102" w:type="dxa"/>
              <w:left w:w="62" w:type="dxa"/>
              <w:bottom w:w="102" w:type="dxa"/>
              <w:right w:w="62" w:type="dxa"/>
            </w:tcMar>
          </w:tcPr>
          <w:p w14:paraId="176F4E4C" w14:textId="2475A363" w:rsidR="00416913" w:rsidRDefault="00416913" w:rsidP="00F60CF8">
            <w:pPr>
              <w:rPr>
                <w:i/>
                <w:u w:val="single"/>
              </w:rPr>
            </w:pPr>
            <w:r w:rsidRPr="00223EC0">
              <w:rPr>
                <w:i/>
                <w:u w:val="single"/>
              </w:rPr>
              <w:t>Юрова Елена Николаевна</w:t>
            </w:r>
            <w:r w:rsidR="000E4130" w:rsidRPr="00223EC0">
              <w:rPr>
                <w:i/>
                <w:u w:val="single"/>
              </w:rPr>
              <w:t xml:space="preserve"> (Ассоциация НСРО «РУСЛОМ.КОМ»)</w:t>
            </w:r>
          </w:p>
          <w:p w14:paraId="5009D2F2" w14:textId="77777777" w:rsidR="006B11C3" w:rsidRPr="00223EC0" w:rsidRDefault="006B11C3" w:rsidP="00F60CF8">
            <w:pPr>
              <w:rPr>
                <w:i/>
                <w:u w:val="single"/>
              </w:rPr>
            </w:pPr>
          </w:p>
          <w:p w14:paraId="155139DD" w14:textId="77777777" w:rsidR="00B42346" w:rsidRDefault="00B42346" w:rsidP="00B42346">
            <w:pPr>
              <w:pStyle w:val="Default"/>
              <w:rPr>
                <w:sz w:val="23"/>
                <w:szCs w:val="23"/>
              </w:rPr>
            </w:pPr>
            <w:r>
              <w:rPr>
                <w:b/>
                <w:bCs/>
                <w:sz w:val="23"/>
                <w:szCs w:val="23"/>
              </w:rPr>
              <w:t xml:space="preserve">Подпунктом в) пункта 4 Изменений предлагается расширить перечень информации, подлежащей внесению в ГИИС ДМДК в </w:t>
            </w:r>
            <w:r>
              <w:rPr>
                <w:b/>
                <w:bCs/>
                <w:sz w:val="23"/>
                <w:szCs w:val="23"/>
              </w:rPr>
              <w:lastRenderedPageBreak/>
              <w:t xml:space="preserve">отношении физических лиц </w:t>
            </w:r>
            <w:r>
              <w:rPr>
                <w:sz w:val="23"/>
                <w:szCs w:val="23"/>
              </w:rPr>
              <w:t xml:space="preserve">при совершении с указанными лицами залоговых операций, операций по скупке, заготовке и т.д. </w:t>
            </w:r>
          </w:p>
          <w:p w14:paraId="68257F7E" w14:textId="77777777" w:rsidR="00B42346" w:rsidRDefault="00B42346" w:rsidP="00B42346">
            <w:pPr>
              <w:pStyle w:val="Default"/>
              <w:rPr>
                <w:sz w:val="23"/>
                <w:szCs w:val="23"/>
              </w:rPr>
            </w:pPr>
            <w:r>
              <w:rPr>
                <w:sz w:val="23"/>
                <w:szCs w:val="23"/>
              </w:rPr>
              <w:t xml:space="preserve">В настоящее время обязательной к внесению в ГИИС ДМДК является следующая информация о физическом лице: </w:t>
            </w:r>
          </w:p>
          <w:p w14:paraId="0198E50F" w14:textId="77777777" w:rsidR="00B42346" w:rsidRDefault="00B42346" w:rsidP="00B42346">
            <w:pPr>
              <w:pStyle w:val="Default"/>
              <w:rPr>
                <w:sz w:val="23"/>
                <w:szCs w:val="23"/>
              </w:rPr>
            </w:pPr>
            <w:r>
              <w:rPr>
                <w:sz w:val="23"/>
                <w:szCs w:val="23"/>
              </w:rPr>
              <w:t xml:space="preserve">фамилия, имя, отчество (при наличии), </w:t>
            </w:r>
          </w:p>
          <w:p w14:paraId="61983395" w14:textId="77777777" w:rsidR="00B42346" w:rsidRDefault="00B42346" w:rsidP="00B42346">
            <w:pPr>
              <w:pStyle w:val="Default"/>
              <w:rPr>
                <w:sz w:val="23"/>
                <w:szCs w:val="23"/>
              </w:rPr>
            </w:pPr>
            <w:r>
              <w:rPr>
                <w:sz w:val="23"/>
                <w:szCs w:val="23"/>
              </w:rPr>
              <w:t xml:space="preserve">число, месяц и год рождения, </w:t>
            </w:r>
          </w:p>
          <w:p w14:paraId="3F1E3992" w14:textId="34D4A90A" w:rsidR="00B42346" w:rsidRDefault="00B42346" w:rsidP="00B42346">
            <w:pPr>
              <w:pStyle w:val="Default"/>
              <w:rPr>
                <w:sz w:val="23"/>
                <w:szCs w:val="23"/>
              </w:rPr>
            </w:pPr>
            <w:r>
              <w:rPr>
                <w:sz w:val="23"/>
                <w:szCs w:val="23"/>
              </w:rPr>
              <w:t xml:space="preserve">адрес (не конкретизирован какой именно адрес регистрации или адрес проживания), сведения о документе, удостоверяющем личность. </w:t>
            </w:r>
          </w:p>
          <w:p w14:paraId="05935DD3" w14:textId="77777777" w:rsidR="00B42346" w:rsidRDefault="00B42346" w:rsidP="00B42346">
            <w:pPr>
              <w:pStyle w:val="Default"/>
              <w:rPr>
                <w:sz w:val="23"/>
                <w:szCs w:val="23"/>
              </w:rPr>
            </w:pPr>
            <w:r>
              <w:rPr>
                <w:sz w:val="23"/>
                <w:szCs w:val="23"/>
              </w:rPr>
              <w:t xml:space="preserve">Проектом предполагается, что обязательному внесению в ГИИС ДМДК помимо перечисленных сведений будут подлежать: </w:t>
            </w:r>
          </w:p>
          <w:p w14:paraId="6609C16B" w14:textId="0C70AC8E" w:rsidR="00416913" w:rsidRDefault="00B42346" w:rsidP="008E3144">
            <w:pPr>
              <w:pStyle w:val="Default"/>
              <w:rPr>
                <w:sz w:val="23"/>
                <w:szCs w:val="23"/>
              </w:rPr>
            </w:pPr>
            <w:r>
              <w:rPr>
                <w:sz w:val="23"/>
                <w:szCs w:val="23"/>
              </w:rPr>
              <w:t>данные ИНН (для резидентов), данные миграционной карты (для иностранных граждан), сведения о месте рождения, сведения как об адресе проживания, так и об адресе регистрации.</w:t>
            </w:r>
          </w:p>
          <w:p w14:paraId="74D63F9A" w14:textId="67BF2B19" w:rsidR="00B42346" w:rsidRDefault="00B42346" w:rsidP="00B42346">
            <w:pPr>
              <w:pStyle w:val="Default"/>
              <w:rPr>
                <w:sz w:val="23"/>
                <w:szCs w:val="23"/>
              </w:rPr>
            </w:pPr>
            <w:r>
              <w:rPr>
                <w:b/>
                <w:bCs/>
                <w:sz w:val="23"/>
                <w:szCs w:val="23"/>
              </w:rPr>
              <w:t xml:space="preserve">Полагаем, что предлагаемые изменения являются чрезмерными, влекут дополнительную нагрузку на субъекты предпринимательства, не соответствуют требованиям законодательства в сфере ПОД/ФТ в части идентификации физических лиц в силу следующего. </w:t>
            </w:r>
          </w:p>
          <w:p w14:paraId="5A52F08D" w14:textId="77777777" w:rsidR="00B42346" w:rsidRDefault="00B42346" w:rsidP="00B42346">
            <w:pPr>
              <w:pStyle w:val="Default"/>
              <w:rPr>
                <w:sz w:val="23"/>
                <w:szCs w:val="23"/>
              </w:rPr>
            </w:pPr>
            <w:r>
              <w:rPr>
                <w:sz w:val="23"/>
                <w:szCs w:val="23"/>
              </w:rPr>
              <w:t xml:space="preserve">Согласно части 2 статьи 1, статье 18 ГК РФ физические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w:t>
            </w:r>
            <w:r>
              <w:rPr>
                <w:i/>
                <w:iCs/>
                <w:sz w:val="23"/>
                <w:szCs w:val="23"/>
              </w:rPr>
              <w:t xml:space="preserve">Гражданские права могут быть ограничены на основании федерального закона </w:t>
            </w:r>
            <w:r>
              <w:rPr>
                <w:sz w:val="23"/>
                <w:szCs w:val="23"/>
              </w:rPr>
              <w:t xml:space="preserve">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Граждане могут совершать любые не противоречащие закону сделки и участвовать в обязательствах. </w:t>
            </w:r>
          </w:p>
          <w:p w14:paraId="3AE349EF" w14:textId="77777777" w:rsidR="00B42346" w:rsidRDefault="00B42346" w:rsidP="00B42346">
            <w:pPr>
              <w:pStyle w:val="Default"/>
              <w:rPr>
                <w:sz w:val="23"/>
                <w:szCs w:val="23"/>
              </w:rPr>
            </w:pPr>
            <w:r>
              <w:rPr>
                <w:i/>
                <w:iCs/>
                <w:sz w:val="23"/>
                <w:szCs w:val="23"/>
              </w:rPr>
              <w:t xml:space="preserve">Праву физических лиц осуществлять свои гражданские права корреспондирует обязанность </w:t>
            </w:r>
            <w:r>
              <w:rPr>
                <w:sz w:val="23"/>
                <w:szCs w:val="23"/>
              </w:rPr>
              <w:t xml:space="preserve">(установленная ст. 7 Федерального </w:t>
            </w:r>
            <w:r>
              <w:rPr>
                <w:sz w:val="23"/>
                <w:szCs w:val="23"/>
              </w:rPr>
              <w:lastRenderedPageBreak/>
              <w:t xml:space="preserve">закона от 07.08.2001 N 115-ФЗ «О противодействии легализации (отмыванию) доходов, полученных преступным путем, и финансированию терроризма», далее – 115-ФЗ) </w:t>
            </w:r>
            <w:r>
              <w:rPr>
                <w:i/>
                <w:iCs/>
                <w:sz w:val="23"/>
                <w:szCs w:val="23"/>
              </w:rPr>
              <w:t xml:space="preserve">юридических лиц, осуществляющих операции с денежными средствами или иным имуществом, до приема физических лиц на обслуживание идентифицировать клиента. </w:t>
            </w:r>
          </w:p>
          <w:p w14:paraId="3C982134" w14:textId="77777777" w:rsidR="00B42346" w:rsidRDefault="00B42346" w:rsidP="00B42346">
            <w:pPr>
              <w:pStyle w:val="Default"/>
              <w:rPr>
                <w:sz w:val="23"/>
                <w:szCs w:val="23"/>
              </w:rPr>
            </w:pPr>
            <w:r>
              <w:rPr>
                <w:sz w:val="23"/>
                <w:szCs w:val="23"/>
              </w:rPr>
              <w:t xml:space="preserve">При этом согласно подпункту 1.1 пункта 1 статьи 7 115-ФЗ в отношении физических лиц необходимо установление следующих сведений: </w:t>
            </w:r>
          </w:p>
          <w:p w14:paraId="571EB2BC" w14:textId="602777D8" w:rsidR="00B42346" w:rsidRDefault="00B42346" w:rsidP="00B42346">
            <w:pPr>
              <w:pStyle w:val="Default"/>
              <w:rPr>
                <w:sz w:val="23"/>
                <w:szCs w:val="23"/>
              </w:rPr>
            </w:pPr>
            <w:r>
              <w:rPr>
                <w:sz w:val="23"/>
                <w:szCs w:val="23"/>
              </w:rPr>
              <w:t xml:space="preserve">фамилия, имя, отчество (при наличии), гражданство, дата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(регистрации) </w:t>
            </w:r>
            <w:r>
              <w:rPr>
                <w:b/>
                <w:bCs/>
                <w:sz w:val="23"/>
                <w:szCs w:val="23"/>
              </w:rPr>
              <w:t xml:space="preserve">или </w:t>
            </w:r>
            <w:r>
              <w:rPr>
                <w:sz w:val="23"/>
                <w:szCs w:val="23"/>
              </w:rPr>
              <w:t xml:space="preserve">места пребывания, идентификационный номер налогоплательщика </w:t>
            </w:r>
            <w:r>
              <w:rPr>
                <w:b/>
                <w:bCs/>
                <w:sz w:val="23"/>
                <w:szCs w:val="23"/>
              </w:rPr>
              <w:t>(при его наличии)</w:t>
            </w:r>
            <w:r>
              <w:rPr>
                <w:sz w:val="23"/>
                <w:szCs w:val="23"/>
              </w:rPr>
              <w:t xml:space="preserve">, Аналогичный состав сведений содержится в Приказе Росфинмониторинга от 20.05.2022 </w:t>
            </w:r>
            <w:r w:rsidR="001D7543">
              <w:rPr>
                <w:sz w:val="23"/>
                <w:szCs w:val="23"/>
              </w:rPr>
              <w:t>№</w:t>
            </w:r>
            <w:r>
              <w:rPr>
                <w:sz w:val="23"/>
                <w:szCs w:val="23"/>
              </w:rPr>
              <w:t xml:space="preserve">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 </w:t>
            </w:r>
          </w:p>
          <w:p w14:paraId="4FBBB501" w14:textId="77777777" w:rsidR="00B42346" w:rsidRDefault="00B42346" w:rsidP="00B42346">
            <w:pPr>
              <w:pStyle w:val="Default"/>
              <w:rPr>
                <w:sz w:val="23"/>
                <w:szCs w:val="23"/>
              </w:rPr>
            </w:pPr>
            <w:r>
              <w:rPr>
                <w:sz w:val="23"/>
                <w:szCs w:val="23"/>
              </w:rPr>
              <w:t xml:space="preserve">Таким образом, </w:t>
            </w:r>
            <w:r>
              <w:rPr>
                <w:i/>
                <w:iCs/>
                <w:sz w:val="23"/>
                <w:szCs w:val="23"/>
              </w:rPr>
              <w:t xml:space="preserve">в рамках законодательства в сфере ПОД/ФТ для идентификации клиента не требуется место рождения клиента; устанавливается или адрес места жительства (регистрации) или адрес места пребывания, а не оба сразу; ИНН вносится при наличии; установлен иной пакет документов для иностранных граждан. </w:t>
            </w:r>
          </w:p>
          <w:p w14:paraId="6F1BD7FA" w14:textId="77777777" w:rsidR="00B42346" w:rsidRDefault="00B42346" w:rsidP="00B42346">
            <w:pPr>
              <w:pStyle w:val="Default"/>
              <w:rPr>
                <w:sz w:val="23"/>
                <w:szCs w:val="23"/>
              </w:rPr>
            </w:pPr>
            <w:r>
              <w:rPr>
                <w:sz w:val="23"/>
                <w:szCs w:val="23"/>
              </w:rPr>
              <w:t xml:space="preserve">Указанные сведения фиксируются </w:t>
            </w:r>
            <w:r>
              <w:rPr>
                <w:i/>
                <w:iCs/>
                <w:sz w:val="23"/>
                <w:szCs w:val="23"/>
              </w:rPr>
              <w:t xml:space="preserve">в Анкете клиента и хранятся в досье клиента. </w:t>
            </w:r>
            <w:r>
              <w:rPr>
                <w:sz w:val="23"/>
                <w:szCs w:val="23"/>
              </w:rPr>
              <w:t xml:space="preserve">В рамках законодательства о ПОД/ФТ </w:t>
            </w:r>
            <w:r>
              <w:rPr>
                <w:i/>
                <w:iCs/>
                <w:sz w:val="23"/>
                <w:szCs w:val="23"/>
              </w:rPr>
              <w:t xml:space="preserve">субъекты </w:t>
            </w:r>
            <w:r>
              <w:rPr>
                <w:i/>
                <w:iCs/>
                <w:sz w:val="23"/>
                <w:szCs w:val="23"/>
              </w:rPr>
              <w:lastRenderedPageBreak/>
              <w:t xml:space="preserve">предпринимательства обязаны осуществлять иные дополнительные мероприятия в целях идентификации клиента. </w:t>
            </w:r>
          </w:p>
          <w:p w14:paraId="26B8B94E" w14:textId="2DAC619D" w:rsidR="00B42346" w:rsidRDefault="00B42346" w:rsidP="00B42346">
            <w:pPr>
              <w:pStyle w:val="Default"/>
              <w:rPr>
                <w:sz w:val="23"/>
                <w:szCs w:val="23"/>
              </w:rPr>
            </w:pPr>
            <w:r>
              <w:rPr>
                <w:b/>
                <w:bCs/>
                <w:sz w:val="23"/>
                <w:szCs w:val="23"/>
              </w:rPr>
              <w:t xml:space="preserve">На основании изложенного, просим исключить подпункт в) пункта 4 Изменений, поскольку установленные федеральным законом необходимые сведения о клиенте собираются в рамках законодательства в сфере ПОД/ФТ и фиксируются в предусмотренных указанным законодательством документах. </w:t>
            </w:r>
          </w:p>
          <w:p w14:paraId="0CD5E304" w14:textId="42B99EB1" w:rsidR="00B42346" w:rsidRPr="008D27DD" w:rsidRDefault="00B42346" w:rsidP="00B42346"/>
        </w:tc>
        <w:tc>
          <w:tcPr>
            <w:tcW w:w="845" w:type="pct"/>
          </w:tcPr>
          <w:p w14:paraId="0472CFD9" w14:textId="28BE7E3E" w:rsidR="00416913" w:rsidRPr="00FB4717" w:rsidRDefault="000A0CF7" w:rsidP="004765C8">
            <w:pPr>
              <w:widowControl w:val="0"/>
              <w:autoSpaceDE w:val="0"/>
              <w:autoSpaceDN w:val="0"/>
              <w:adjustRightInd w:val="0"/>
              <w:ind w:left="96"/>
              <w:jc w:val="center"/>
            </w:pPr>
            <w:r>
              <w:lastRenderedPageBreak/>
              <w:t>Не учтено.</w:t>
            </w:r>
          </w:p>
        </w:tc>
        <w:tc>
          <w:tcPr>
            <w:tcW w:w="1674" w:type="pct"/>
            <w:tcMar>
              <w:top w:w="102" w:type="dxa"/>
              <w:left w:w="62" w:type="dxa"/>
              <w:bottom w:w="102" w:type="dxa"/>
              <w:right w:w="62" w:type="dxa"/>
            </w:tcMar>
          </w:tcPr>
          <w:p w14:paraId="43820565" w14:textId="5E11AF55" w:rsidR="00FE0BD6" w:rsidRDefault="00FE0BD6" w:rsidP="00FE0BD6">
            <w:pPr>
              <w:widowControl w:val="0"/>
              <w:autoSpaceDE w:val="0"/>
              <w:autoSpaceDN w:val="0"/>
              <w:adjustRightInd w:val="0"/>
              <w:ind w:left="18"/>
            </w:pPr>
            <w:r>
              <w:t>Полагаем возможным изложить подпункт «б» пункта 4 изложить в следующей редакции:</w:t>
            </w:r>
          </w:p>
          <w:p w14:paraId="6E15C74F" w14:textId="77777777" w:rsidR="00FE0BD6" w:rsidRDefault="00FE0BD6" w:rsidP="00FE0BD6">
            <w:pPr>
              <w:widowControl w:val="0"/>
              <w:autoSpaceDE w:val="0"/>
              <w:autoSpaceDN w:val="0"/>
              <w:adjustRightInd w:val="0"/>
              <w:ind w:left="18"/>
            </w:pPr>
            <w:r>
              <w:t>«б) пункт 20 дополнить подпунктом «н» следующего содержания:</w:t>
            </w:r>
          </w:p>
          <w:p w14:paraId="439C5E92" w14:textId="548C16D0" w:rsidR="00416913" w:rsidRPr="00F50EF8" w:rsidRDefault="00FE0BD6" w:rsidP="00FE0BD6">
            <w:pPr>
              <w:widowControl w:val="0"/>
              <w:autoSpaceDE w:val="0"/>
              <w:autoSpaceDN w:val="0"/>
              <w:adjustRightInd w:val="0"/>
              <w:ind w:left="18"/>
            </w:pPr>
            <w:r>
              <w:t xml:space="preserve">«н) сведения, содержащиеся в залоговом билете, </w:t>
            </w:r>
            <w:r>
              <w:lastRenderedPageBreak/>
              <w:t>скупочной квитанции, договоре комиссии и (или) купли-продажи (фамилия, имя, отчество (при наличии), дата рождения, адрес места жительства (регистрации) или места пребывания, сведения о документе, удостоверяющем личность (тип, серия (при наличии), номер, дата выдачи, кем выдан), идентификационный номер налогоплательщика (ИНН) (при наличии), для иностранных граждан и лиц без гражданства – также данные документа, подтверждающего право на пребывание (проживание) в Российской Федерации (данные миграционной карты в случае отсутствия иных документов) (если наличие таких документов обязательно в соответствии с международными договорами Российской Федерации и законодательством Российской Федерации).».</w:t>
            </w:r>
          </w:p>
        </w:tc>
      </w:tr>
      <w:tr w:rsidR="00B42346" w:rsidRPr="00FB4717" w14:paraId="5DEAF332" w14:textId="77777777" w:rsidTr="00094368">
        <w:trPr>
          <w:gridAfter w:val="1"/>
          <w:wAfter w:w="5" w:type="pct"/>
          <w:trHeight w:val="147"/>
          <w:jc w:val="center"/>
        </w:trPr>
        <w:tc>
          <w:tcPr>
            <w:tcW w:w="183" w:type="pct"/>
            <w:tcMar>
              <w:top w:w="102" w:type="dxa"/>
              <w:left w:w="62" w:type="dxa"/>
              <w:bottom w:w="102" w:type="dxa"/>
              <w:right w:w="62" w:type="dxa"/>
            </w:tcMar>
          </w:tcPr>
          <w:p w14:paraId="375AC1A9" w14:textId="1C5B0B2E" w:rsidR="00B42346" w:rsidRDefault="001648A5" w:rsidP="00F60CF8">
            <w:pPr>
              <w:widowControl w:val="0"/>
              <w:autoSpaceDE w:val="0"/>
              <w:autoSpaceDN w:val="0"/>
              <w:adjustRightInd w:val="0"/>
              <w:jc w:val="center"/>
            </w:pPr>
            <w:r>
              <w:lastRenderedPageBreak/>
              <w:t>8.6.</w:t>
            </w:r>
          </w:p>
        </w:tc>
        <w:tc>
          <w:tcPr>
            <w:tcW w:w="2293" w:type="pct"/>
            <w:tcMar>
              <w:top w:w="102" w:type="dxa"/>
              <w:left w:w="62" w:type="dxa"/>
              <w:bottom w:w="102" w:type="dxa"/>
              <w:right w:w="62" w:type="dxa"/>
            </w:tcMar>
          </w:tcPr>
          <w:p w14:paraId="0721E1F6" w14:textId="1410B230" w:rsidR="00B42346" w:rsidRDefault="009309C0" w:rsidP="00F60CF8">
            <w:pPr>
              <w:rPr>
                <w:i/>
                <w:u w:val="single"/>
              </w:rPr>
            </w:pPr>
            <w:r w:rsidRPr="001E7B14">
              <w:rPr>
                <w:i/>
                <w:u w:val="single"/>
              </w:rPr>
              <w:t>Миклашевич Елена Петровна</w:t>
            </w:r>
            <w:r w:rsidR="002B0E5F" w:rsidRPr="001E7B14">
              <w:rPr>
                <w:i/>
                <w:u w:val="single"/>
              </w:rPr>
              <w:t xml:space="preserve"> (ОАО «Красцветмет»)</w:t>
            </w:r>
          </w:p>
          <w:p w14:paraId="5F909DE6" w14:textId="77777777" w:rsidR="001E7B14" w:rsidRPr="001E7B14" w:rsidRDefault="001E7B14" w:rsidP="00F60CF8">
            <w:pPr>
              <w:rPr>
                <w:i/>
                <w:u w:val="single"/>
              </w:rPr>
            </w:pPr>
          </w:p>
          <w:p w14:paraId="2FC4400B" w14:textId="12D112B9" w:rsidR="00D15ED6" w:rsidRPr="00416913" w:rsidRDefault="002B0E5F" w:rsidP="00F60CF8">
            <w:r w:rsidRPr="002B0E5F">
              <w:t>Предлагается исключить нанесение средства идентификации комплекта непосредственно на ювелирное изделие ввиду того, что средство идентификации комплекта присваивается после клеймения и нанесения УИН на ювелирное изделие, входящее в состав комплекта, в подразделении Федеральной пробирной палаты. Кроме того, для исключения различного толкования предлагается включить в проект постановления определение термина «комплект ювелирных изделий».</w:t>
            </w:r>
          </w:p>
        </w:tc>
        <w:tc>
          <w:tcPr>
            <w:tcW w:w="845" w:type="pct"/>
          </w:tcPr>
          <w:p w14:paraId="16D9C30F" w14:textId="3D6D0166" w:rsidR="00B42346" w:rsidRPr="00FB4717" w:rsidRDefault="00895D61" w:rsidP="00895D61">
            <w:pPr>
              <w:widowControl w:val="0"/>
              <w:autoSpaceDE w:val="0"/>
              <w:autoSpaceDN w:val="0"/>
              <w:adjustRightInd w:val="0"/>
              <w:ind w:left="96"/>
              <w:jc w:val="center"/>
            </w:pPr>
            <w:r>
              <w:t>Не учтено.</w:t>
            </w:r>
          </w:p>
        </w:tc>
        <w:tc>
          <w:tcPr>
            <w:tcW w:w="1674" w:type="pct"/>
            <w:tcMar>
              <w:top w:w="102" w:type="dxa"/>
              <w:left w:w="62" w:type="dxa"/>
              <w:bottom w:w="102" w:type="dxa"/>
              <w:right w:w="62" w:type="dxa"/>
            </w:tcMar>
          </w:tcPr>
          <w:p w14:paraId="3BD42D72" w14:textId="443253F4" w:rsidR="00153F4C" w:rsidRDefault="002C19BD" w:rsidP="00153F4C">
            <w:pPr>
              <w:widowControl w:val="0"/>
              <w:autoSpaceDE w:val="0"/>
              <w:autoSpaceDN w:val="0"/>
              <w:adjustRightInd w:val="0"/>
              <w:ind w:left="18"/>
            </w:pPr>
            <w:r>
              <w:t>В соответствии с пунктом 2 Правил к средствам идентификации относятся</w:t>
            </w:r>
            <w:r w:rsidR="009D0D57">
              <w:t>:</w:t>
            </w:r>
          </w:p>
          <w:p w14:paraId="1882D450" w14:textId="45C46D9B" w:rsidR="00153F4C" w:rsidRDefault="002C19BD" w:rsidP="00153F4C">
            <w:pPr>
              <w:widowControl w:val="0"/>
              <w:autoSpaceDE w:val="0"/>
              <w:autoSpaceDN w:val="0"/>
              <w:adjustRightInd w:val="0"/>
              <w:ind w:left="18"/>
            </w:pPr>
            <w:r>
              <w:t xml:space="preserve">УИН - уникальная последовательность цифр, формируемая ГИИС ДМДК для индивидуального учета ювелирных изделий, а также для формирования двухмерного штрихового кода; ИНП </w:t>
            </w:r>
            <w:r w:rsidR="00153F4C">
              <w:t>–</w:t>
            </w:r>
            <w:r>
              <w:t xml:space="preserve"> </w:t>
            </w:r>
            <w:r w:rsidR="009D0D57" w:rsidRPr="009D0D57">
              <w:t>уникальная последовательность цифр, формируемая ГИИС ДМДК для обеспечения прослеживаемости оборота продукции в ГИИС ДМДК. Посредством идентификационного номера партии обеспечивается идентификация продукции с целью контроля за ее оборотом</w:t>
            </w:r>
            <w:r w:rsidR="009D0D57">
              <w:t>.</w:t>
            </w:r>
          </w:p>
          <w:p w14:paraId="1BADA50F" w14:textId="6891A681" w:rsidR="00FA6217" w:rsidRDefault="00FA6217" w:rsidP="00153F4C">
            <w:pPr>
              <w:widowControl w:val="0"/>
              <w:autoSpaceDE w:val="0"/>
              <w:autoSpaceDN w:val="0"/>
              <w:adjustRightInd w:val="0"/>
              <w:ind w:left="18"/>
            </w:pPr>
            <w:r>
              <w:t xml:space="preserve">Двухмерный штриховой код - </w:t>
            </w:r>
            <w:r w:rsidR="00566732" w:rsidRPr="00566732">
              <w:t>уникальная последовательность символов в машиночитаемой форме, содержащая сведения об уникальном идентификационном номере ювелирного изделия</w:t>
            </w:r>
            <w:r w:rsidR="00566732">
              <w:t>.</w:t>
            </w:r>
          </w:p>
          <w:p w14:paraId="4240EE92" w14:textId="273F4510" w:rsidR="00B42346" w:rsidRDefault="00F60CF8" w:rsidP="00153F4C">
            <w:pPr>
              <w:widowControl w:val="0"/>
              <w:autoSpaceDE w:val="0"/>
              <w:autoSpaceDN w:val="0"/>
              <w:adjustRightInd w:val="0"/>
              <w:ind w:left="18"/>
            </w:pPr>
            <w:r w:rsidRPr="00325DF9">
              <w:rPr>
                <w:i/>
              </w:rPr>
              <w:t xml:space="preserve">Средство идентификации </w:t>
            </w:r>
            <w:r w:rsidR="00CF1444" w:rsidRPr="00325DF9">
              <w:rPr>
                <w:i/>
              </w:rPr>
              <w:t>комплекта</w:t>
            </w:r>
            <w:r w:rsidR="00CF1444">
              <w:t xml:space="preserve"> </w:t>
            </w:r>
            <w:r>
              <w:t>не наносится непос</w:t>
            </w:r>
            <w:r w:rsidR="006C71B5">
              <w:t>р</w:t>
            </w:r>
            <w:r w:rsidR="008A6E8C">
              <w:t>едственно на ювелирное изделие.</w:t>
            </w:r>
          </w:p>
          <w:p w14:paraId="62049FE1" w14:textId="071DA9F4" w:rsidR="004D4E2D" w:rsidRDefault="00712069" w:rsidP="00CF1444">
            <w:pPr>
              <w:widowControl w:val="0"/>
              <w:autoSpaceDE w:val="0"/>
              <w:autoSpaceDN w:val="0"/>
              <w:adjustRightInd w:val="0"/>
              <w:ind w:left="18"/>
            </w:pPr>
            <w:r>
              <w:t>Вместе с тем отмечаем, что р</w:t>
            </w:r>
            <w:r w:rsidR="004D4E2D">
              <w:t>анее п</w:t>
            </w:r>
            <w:r w:rsidR="004D4E2D" w:rsidRPr="004D4E2D">
              <w:t xml:space="preserve">ри получении </w:t>
            </w:r>
            <w:r w:rsidR="004D4E2D" w:rsidRPr="004D4E2D">
              <w:lastRenderedPageBreak/>
              <w:t>УИН на парные изделия, заявленные в качестве остатков, запрашива</w:t>
            </w:r>
            <w:r w:rsidR="004D4E2D">
              <w:t>лся</w:t>
            </w:r>
            <w:r w:rsidR="004D4E2D" w:rsidRPr="004D4E2D">
              <w:t xml:space="preserve"> один УИН. При внесении сведений о н</w:t>
            </w:r>
            <w:r w:rsidR="004D4E2D">
              <w:t xml:space="preserve">овых изделиях с </w:t>
            </w:r>
            <w:r w:rsidR="00720C70">
              <w:t>0</w:t>
            </w:r>
            <w:r w:rsidR="004D4E2D">
              <w:t>1</w:t>
            </w:r>
            <w:r w:rsidR="00720C70">
              <w:t>.03.</w:t>
            </w:r>
            <w:r w:rsidR="004D4E2D">
              <w:t>2022</w:t>
            </w:r>
            <w:r w:rsidR="00720C70">
              <w:t xml:space="preserve"> </w:t>
            </w:r>
            <w:r w:rsidR="004D4E2D">
              <w:t>присваи</w:t>
            </w:r>
            <w:r w:rsidR="00CF1444">
              <w:t>вается</w:t>
            </w:r>
            <w:r w:rsidR="004D4E2D" w:rsidRPr="004D4E2D">
              <w:t xml:space="preserve"> два УИНа.</w:t>
            </w:r>
          </w:p>
          <w:p w14:paraId="5AEC8421" w14:textId="537E1556" w:rsidR="00F87E3B" w:rsidRDefault="00F87E3B" w:rsidP="00A25DCF">
            <w:pPr>
              <w:widowControl w:val="0"/>
              <w:autoSpaceDE w:val="0"/>
              <w:autoSpaceDN w:val="0"/>
              <w:adjustRightInd w:val="0"/>
              <w:ind w:left="18"/>
            </w:pPr>
            <w:r>
              <w:t>Изменение пункта 35 носит технический</w:t>
            </w:r>
            <w:r w:rsidR="001D6592">
              <w:t xml:space="preserve"> характер</w:t>
            </w:r>
            <w:r w:rsidR="00B75554">
              <w:t>,</w:t>
            </w:r>
            <w:r w:rsidR="001D6592">
              <w:t xml:space="preserve"> слов</w:t>
            </w:r>
            <w:r w:rsidR="00B75554">
              <w:t>а</w:t>
            </w:r>
            <w:r w:rsidR="001D6592">
              <w:t xml:space="preserve"> «партии</w:t>
            </w:r>
            <w:r w:rsidR="00B75554">
              <w:t xml:space="preserve"> </w:t>
            </w:r>
            <w:r w:rsidR="00B75554" w:rsidRPr="00B75554">
              <w:t>ювелирных изделий</w:t>
            </w:r>
            <w:r w:rsidR="00C000F5">
              <w:t>» заменяются словами</w:t>
            </w:r>
            <w:r w:rsidR="001D6592">
              <w:t xml:space="preserve"> «комплект</w:t>
            </w:r>
            <w:r w:rsidR="00C000F5">
              <w:t xml:space="preserve"> </w:t>
            </w:r>
            <w:r w:rsidR="00C000F5" w:rsidRPr="00C000F5">
              <w:t>ювелирных изделий</w:t>
            </w:r>
            <w:r w:rsidR="001D6592">
              <w:t>», поскольку в соответствии с методическими рекомендациями по</w:t>
            </w:r>
            <w:r w:rsidR="00337DB2">
              <w:t xml:space="preserve"> объект</w:t>
            </w:r>
            <w:r w:rsidR="00A25DCF">
              <w:t>ам систем</w:t>
            </w:r>
            <w:r w:rsidR="00DB3A9B">
              <w:t>ы</w:t>
            </w:r>
            <w:r w:rsidR="00A25DCF">
              <w:t xml:space="preserve"> в ГИИС ДМДК используется вид</w:t>
            </w:r>
            <w:r w:rsidR="00EC6073">
              <w:t xml:space="preserve"> </w:t>
            </w:r>
            <w:r w:rsidR="00A25DCF">
              <w:t>партии «Комплект».</w:t>
            </w:r>
          </w:p>
          <w:p w14:paraId="51EDD76F" w14:textId="14C31C5C" w:rsidR="00712E69" w:rsidRDefault="00712E69" w:rsidP="00DB3A9B">
            <w:pPr>
              <w:widowControl w:val="0"/>
              <w:autoSpaceDE w:val="0"/>
              <w:autoSpaceDN w:val="0"/>
              <w:adjustRightInd w:val="0"/>
              <w:ind w:left="18"/>
            </w:pPr>
            <w:r>
              <w:t>Кроме того, согласно методическим рекомендациям по объектам систем</w:t>
            </w:r>
            <w:r w:rsidR="00DB3A9B">
              <w:t>ы</w:t>
            </w:r>
            <w:r>
              <w:t xml:space="preserve"> под комплектом понимается набор </w:t>
            </w:r>
            <w:r w:rsidRPr="00712E69">
              <w:t>изделий из ДМДК (чаще всего применяется для регистрации парных ювелирных изделий, например, серег).</w:t>
            </w:r>
          </w:p>
          <w:p w14:paraId="11FDCDD0" w14:textId="77777777" w:rsidR="009F17C8" w:rsidRDefault="009F17C8" w:rsidP="009F17C8">
            <w:pPr>
              <w:widowControl w:val="0"/>
              <w:autoSpaceDE w:val="0"/>
              <w:autoSpaceDN w:val="0"/>
              <w:adjustRightInd w:val="0"/>
              <w:ind w:left="18"/>
            </w:pPr>
            <w:r>
              <w:t xml:space="preserve">Вместе с тем в соответствии с пунктом 12 Правил с 01.03.2024 </w:t>
            </w:r>
            <w:r w:rsidRPr="009F17C8">
              <w:t>непосредственно на ювелирные изделия (за исключением остатков, в том числе ювелирных изделий, произведенных до 01.03.2024) должны быть нанесены двухмерные штриховые коды.</w:t>
            </w:r>
          </w:p>
          <w:p w14:paraId="3B1CE0DB" w14:textId="05D9DCF1" w:rsidR="00FA6217" w:rsidRPr="00865254" w:rsidRDefault="009F17C8" w:rsidP="009F17C8">
            <w:pPr>
              <w:widowControl w:val="0"/>
              <w:autoSpaceDE w:val="0"/>
              <w:autoSpaceDN w:val="0"/>
              <w:adjustRightInd w:val="0"/>
              <w:ind w:left="18"/>
            </w:pPr>
            <w:r>
              <w:t xml:space="preserve">Таким образом, исключение в части необходимости </w:t>
            </w:r>
            <w:r w:rsidRPr="002B0E5F">
              <w:t>нанесени</w:t>
            </w:r>
            <w:r>
              <w:t>я</w:t>
            </w:r>
            <w:r w:rsidRPr="002B0E5F">
              <w:t xml:space="preserve"> средства идентификации непосредственно на ювелирное изделие</w:t>
            </w:r>
            <w:r>
              <w:t xml:space="preserve"> не поддерживается.</w:t>
            </w:r>
          </w:p>
        </w:tc>
      </w:tr>
      <w:tr w:rsidR="00410BA7" w:rsidRPr="00FB4717" w14:paraId="42517E39" w14:textId="77777777" w:rsidTr="00094368">
        <w:trPr>
          <w:gridAfter w:val="1"/>
          <w:wAfter w:w="5" w:type="pct"/>
          <w:trHeight w:val="147"/>
          <w:jc w:val="center"/>
        </w:trPr>
        <w:tc>
          <w:tcPr>
            <w:tcW w:w="183" w:type="pct"/>
            <w:tcMar>
              <w:top w:w="102" w:type="dxa"/>
              <w:left w:w="62" w:type="dxa"/>
              <w:bottom w:w="102" w:type="dxa"/>
              <w:right w:w="62" w:type="dxa"/>
            </w:tcMar>
          </w:tcPr>
          <w:p w14:paraId="2A16B2DB" w14:textId="3A95B3F2" w:rsidR="00410BA7" w:rsidRDefault="00345139" w:rsidP="00F60CF8">
            <w:pPr>
              <w:widowControl w:val="0"/>
              <w:autoSpaceDE w:val="0"/>
              <w:autoSpaceDN w:val="0"/>
              <w:adjustRightInd w:val="0"/>
              <w:jc w:val="center"/>
            </w:pPr>
            <w:r>
              <w:t>8.7.</w:t>
            </w:r>
          </w:p>
        </w:tc>
        <w:tc>
          <w:tcPr>
            <w:tcW w:w="2293" w:type="pct"/>
            <w:tcMar>
              <w:top w:w="102" w:type="dxa"/>
              <w:left w:w="62" w:type="dxa"/>
              <w:bottom w:w="102" w:type="dxa"/>
              <w:right w:w="62" w:type="dxa"/>
            </w:tcMar>
          </w:tcPr>
          <w:p w14:paraId="41A185EB" w14:textId="23B0A6E0" w:rsidR="00410BA7" w:rsidRDefault="00410BA7" w:rsidP="00410BA7">
            <w:pPr>
              <w:rPr>
                <w:i/>
                <w:iCs/>
                <w:color w:val="000000"/>
                <w:u w:val="single"/>
              </w:rPr>
            </w:pPr>
            <w:r>
              <w:rPr>
                <w:i/>
                <w:iCs/>
                <w:color w:val="000000"/>
                <w:u w:val="single"/>
              </w:rPr>
              <w:t>Кулик Евгений Валерьевич</w:t>
            </w:r>
            <w:r w:rsidR="002A1E8C">
              <w:rPr>
                <w:i/>
                <w:iCs/>
                <w:color w:val="000000"/>
                <w:u w:val="single"/>
              </w:rPr>
              <w:t xml:space="preserve"> (</w:t>
            </w:r>
            <w:r w:rsidR="002A1E8C" w:rsidRPr="002A1E8C">
              <w:rPr>
                <w:i/>
                <w:iCs/>
                <w:color w:val="000000"/>
                <w:u w:val="single"/>
              </w:rPr>
              <w:t>Ассоциация переработчиков ломов и отходов драгоценных металлов (АПЛДМ)</w:t>
            </w:r>
          </w:p>
          <w:p w14:paraId="28FB4266" w14:textId="637DD293" w:rsidR="00985164" w:rsidRDefault="00985164" w:rsidP="00410BA7">
            <w:pPr>
              <w:rPr>
                <w:iCs/>
                <w:color w:val="000000"/>
              </w:rPr>
            </w:pPr>
          </w:p>
          <w:p w14:paraId="288A3FD3" w14:textId="77777777" w:rsidR="008D6264" w:rsidRDefault="008D6264" w:rsidP="008D6264">
            <w:pPr>
              <w:ind w:firstLine="464"/>
              <w:jc w:val="both"/>
            </w:pPr>
            <w:r>
              <w:rPr>
                <w:iCs/>
                <w:color w:val="000000"/>
              </w:rPr>
              <w:lastRenderedPageBreak/>
              <w:t xml:space="preserve">1. </w:t>
            </w:r>
            <w:r>
              <w:t>Полагаем, что включение в состав обязательных сведений о физическом лице:</w:t>
            </w:r>
          </w:p>
          <w:p w14:paraId="5ABF4922" w14:textId="77777777" w:rsidR="008D6264" w:rsidRDefault="008D6264" w:rsidP="008D6264">
            <w:pPr>
              <w:ind w:firstLine="464"/>
              <w:jc w:val="both"/>
            </w:pPr>
            <w:r>
              <w:t>- места рождения,</w:t>
            </w:r>
          </w:p>
          <w:p w14:paraId="77658221" w14:textId="77777777" w:rsidR="008D6264" w:rsidRDefault="008D6264" w:rsidP="008D6264">
            <w:pPr>
              <w:ind w:firstLine="464"/>
              <w:jc w:val="both"/>
            </w:pPr>
            <w:r>
              <w:t>- адреса регистрации и адреса проживания (в совокупности);</w:t>
            </w:r>
          </w:p>
          <w:p w14:paraId="0C3E1198" w14:textId="77777777" w:rsidR="008D6264" w:rsidRDefault="008D6264" w:rsidP="008D6264">
            <w:pPr>
              <w:ind w:firstLine="464"/>
              <w:jc w:val="both"/>
            </w:pPr>
            <w:r>
              <w:t>- ИНН (вне зависимости от его наличия)</w:t>
            </w:r>
          </w:p>
          <w:p w14:paraId="4435B362" w14:textId="77777777" w:rsidR="008D6264" w:rsidRDefault="008D6264" w:rsidP="008D6264">
            <w:pPr>
              <w:jc w:val="both"/>
            </w:pPr>
            <w:r>
              <w:t xml:space="preserve">налагает избыточные обязанности для субъектов предпринимательской деятельности, гражданские права которых, в силу </w:t>
            </w:r>
            <w:r w:rsidRPr="000832D6">
              <w:t>ч</w:t>
            </w:r>
            <w:r>
              <w:t>.</w:t>
            </w:r>
            <w:r w:rsidRPr="000832D6">
              <w:t xml:space="preserve"> 2 ст</w:t>
            </w:r>
            <w:r>
              <w:t>.</w:t>
            </w:r>
            <w:r w:rsidRPr="000832D6">
              <w:t xml:space="preserve"> 1, ст</w:t>
            </w:r>
            <w:r>
              <w:t>.</w:t>
            </w:r>
            <w:r w:rsidRPr="000832D6">
              <w:t xml:space="preserve"> 18 ГК РФ</w:t>
            </w:r>
            <w:r>
              <w:t xml:space="preserve">, </w:t>
            </w:r>
            <w:r w:rsidRPr="00B01C79">
              <w:rPr>
                <w:i/>
              </w:rPr>
              <w:t>могут быть ограничены на основании федерального закона</w:t>
            </w:r>
            <w:r w:rsidRPr="000832D6">
              <w:t xml:space="preserve">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t xml:space="preserve">. </w:t>
            </w:r>
          </w:p>
          <w:p w14:paraId="5B2F9529" w14:textId="77777777" w:rsidR="008D6264" w:rsidRDefault="008D6264" w:rsidP="008D6264">
            <w:pPr>
              <w:ind w:firstLine="464"/>
              <w:jc w:val="both"/>
            </w:pPr>
            <w:r>
              <w:t>Законодательством о ПОД/ФТ, в частности пп. 1.1 п. 1 ст. 7 Федерального закона от 0</w:t>
            </w:r>
            <w:r w:rsidRPr="00400C54">
              <w:t>7</w:t>
            </w:r>
            <w:r>
              <w:t>.08.</w:t>
            </w:r>
            <w:r w:rsidRPr="00400C54">
              <w:t>2001</w:t>
            </w:r>
            <w:r>
              <w:t xml:space="preserve"> №</w:t>
            </w:r>
            <w:r w:rsidRPr="00400C54">
              <w:t xml:space="preserve"> 115-ФЗ </w:t>
            </w:r>
            <w:r>
              <w:t>«</w:t>
            </w:r>
            <w:r w:rsidRPr="00400C54">
              <w:t>О противодействии легализации (отмыванию) доходов, полученных преступным путем</w:t>
            </w:r>
            <w:r>
              <w:t xml:space="preserve">…», </w:t>
            </w:r>
            <w:r w:rsidRPr="00FB7323">
              <w:t>в отношении физических лиц</w:t>
            </w:r>
            <w:r>
              <w:t xml:space="preserve"> необходимо установление следующих сведений</w:t>
            </w:r>
            <w:r w:rsidRPr="00FB7323">
              <w:t>:</w:t>
            </w:r>
          </w:p>
          <w:p w14:paraId="4B7A2893" w14:textId="77777777" w:rsidR="008D6264" w:rsidRDefault="008D6264" w:rsidP="008D6264">
            <w:pPr>
              <w:ind w:firstLine="464"/>
              <w:jc w:val="both"/>
            </w:pPr>
            <w:r>
              <w:t xml:space="preserve">- </w:t>
            </w:r>
            <w:r w:rsidRPr="00FB7323">
              <w:t>фамили</w:t>
            </w:r>
            <w:r>
              <w:t>я</w:t>
            </w:r>
            <w:r w:rsidRPr="00FB7323">
              <w:t>, имя, отчество (</w:t>
            </w:r>
            <w:r>
              <w:t>при наличии</w:t>
            </w:r>
            <w:r w:rsidRPr="00FB7323">
              <w:t xml:space="preserve">), гражданство, </w:t>
            </w:r>
          </w:p>
          <w:p w14:paraId="287371B6" w14:textId="77777777" w:rsidR="008D6264" w:rsidRDefault="008D6264" w:rsidP="008D6264">
            <w:pPr>
              <w:ind w:firstLine="464"/>
              <w:jc w:val="both"/>
            </w:pPr>
            <w:r>
              <w:t xml:space="preserve">- </w:t>
            </w:r>
            <w:r w:rsidRPr="00FB7323">
              <w:t>дат</w:t>
            </w:r>
            <w:r>
              <w:t>а</w:t>
            </w:r>
            <w:r w:rsidRPr="00FB7323">
              <w:t xml:space="preserve"> рождения,</w:t>
            </w:r>
          </w:p>
          <w:p w14:paraId="6FDE1294" w14:textId="77777777" w:rsidR="008D6264" w:rsidRDefault="008D6264" w:rsidP="008D6264">
            <w:pPr>
              <w:ind w:firstLine="464"/>
              <w:jc w:val="both"/>
            </w:pPr>
            <w:r>
              <w:t xml:space="preserve">- </w:t>
            </w:r>
            <w:r w:rsidRPr="00FB7323">
              <w:t xml:space="preserve">реквизиты документа, удостоверяющего личность, </w:t>
            </w:r>
          </w:p>
          <w:p w14:paraId="357BB233" w14:textId="77777777" w:rsidR="008D6264" w:rsidRDefault="008D6264" w:rsidP="008D6264">
            <w:pPr>
              <w:ind w:firstLine="464"/>
              <w:jc w:val="both"/>
            </w:pPr>
            <w:r>
              <w:t xml:space="preserve">- </w:t>
            </w:r>
            <w:r w:rsidRPr="00FB7323">
              <w:t>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w:t>
            </w:r>
          </w:p>
          <w:p w14:paraId="657020DF" w14:textId="77777777" w:rsidR="008D6264" w:rsidRDefault="008D6264" w:rsidP="008D6264">
            <w:pPr>
              <w:ind w:firstLine="464"/>
              <w:jc w:val="both"/>
            </w:pPr>
            <w:r>
              <w:t xml:space="preserve">- </w:t>
            </w:r>
            <w:r w:rsidRPr="00FB7323">
              <w:t xml:space="preserve">адрес места жительства (регистрации) </w:t>
            </w:r>
            <w:r w:rsidRPr="00FB7323">
              <w:rPr>
                <w:b/>
              </w:rPr>
              <w:t xml:space="preserve">или </w:t>
            </w:r>
            <w:r w:rsidRPr="00FB7323">
              <w:t xml:space="preserve">места пребывания, </w:t>
            </w:r>
          </w:p>
          <w:p w14:paraId="19A9FCC1" w14:textId="77777777" w:rsidR="008D6264" w:rsidRDefault="008D6264" w:rsidP="008D6264">
            <w:pPr>
              <w:ind w:firstLine="464"/>
              <w:jc w:val="both"/>
            </w:pPr>
            <w:r>
              <w:t xml:space="preserve">- </w:t>
            </w:r>
            <w:r w:rsidRPr="00FB7323">
              <w:t xml:space="preserve">идентификационный номер налогоплательщика </w:t>
            </w:r>
            <w:r w:rsidRPr="00FB7323">
              <w:rPr>
                <w:b/>
              </w:rPr>
              <w:t>(при его наличии)</w:t>
            </w:r>
            <w:r w:rsidRPr="00FB7323">
              <w:t>,</w:t>
            </w:r>
          </w:p>
          <w:p w14:paraId="2952479D" w14:textId="77777777" w:rsidR="008D6264" w:rsidRDefault="008D6264" w:rsidP="008D6264">
            <w:pPr>
              <w:ind w:firstLine="464"/>
              <w:jc w:val="both"/>
              <w:rPr>
                <w:i/>
              </w:rPr>
            </w:pPr>
            <w:r>
              <w:t xml:space="preserve">Таким образом, </w:t>
            </w:r>
            <w:r w:rsidRPr="00945E5A">
              <w:rPr>
                <w:i/>
              </w:rPr>
              <w:t xml:space="preserve">в рамках законодательства в сфере ПОД/ФТ для идентификации клиента не требуется место рождения клиента; </w:t>
            </w:r>
            <w:r w:rsidRPr="00945E5A">
              <w:rPr>
                <w:i/>
              </w:rPr>
              <w:lastRenderedPageBreak/>
              <w:t xml:space="preserve">устанавливается или адрес места жительства (регистрации) или адрес места пребывания, а не оба </w:t>
            </w:r>
            <w:r>
              <w:rPr>
                <w:i/>
              </w:rPr>
              <w:t>в совокупности</w:t>
            </w:r>
            <w:r w:rsidRPr="00945E5A">
              <w:rPr>
                <w:i/>
              </w:rPr>
              <w:t xml:space="preserve">; ИНН вносится при </w:t>
            </w:r>
            <w:r>
              <w:rPr>
                <w:i/>
              </w:rPr>
              <w:t xml:space="preserve">его </w:t>
            </w:r>
            <w:r w:rsidRPr="00945E5A">
              <w:rPr>
                <w:i/>
              </w:rPr>
              <w:t>наличии; установлен иной пакет документов для иностранных граждан.</w:t>
            </w:r>
          </w:p>
          <w:p w14:paraId="6D043EF2" w14:textId="03B7EA47" w:rsidR="00FD0506" w:rsidRDefault="008D6264" w:rsidP="008D6264">
            <w:pPr>
              <w:rPr>
                <w:b/>
              </w:rPr>
            </w:pPr>
            <w:r w:rsidRPr="002C1F32">
              <w:rPr>
                <w:b/>
              </w:rPr>
              <w:t xml:space="preserve">На основании изложенного, просим либо исключить подпункт в) пункта 4 </w:t>
            </w:r>
            <w:r>
              <w:rPr>
                <w:b/>
              </w:rPr>
              <w:t>Проекта</w:t>
            </w:r>
            <w:r w:rsidRPr="002C1F32">
              <w:rPr>
                <w:b/>
              </w:rPr>
              <w:t xml:space="preserve">, поскольку сведения о клиенте собираются в рамках законодательства в сфере ПОД/ФТ и фиксируются в предусмотренных указанным законодательством документах, либо, как минимум, привести подпункт в) пункта 4 Изменений в соответствие с нормами законодательства в сфере ПОД/ФТ, изложив его в </w:t>
            </w:r>
            <w:r>
              <w:rPr>
                <w:b/>
              </w:rPr>
              <w:t>предлагаемой</w:t>
            </w:r>
            <w:r w:rsidRPr="002C1F32">
              <w:rPr>
                <w:b/>
              </w:rPr>
              <w:t xml:space="preserve"> редакции.</w:t>
            </w:r>
          </w:p>
          <w:p w14:paraId="323A2286" w14:textId="77777777" w:rsidR="00CF2B40" w:rsidRPr="005710EA" w:rsidRDefault="00CF2B40" w:rsidP="00CF2B40">
            <w:pPr>
              <w:jc w:val="both"/>
              <w:rPr>
                <w:b/>
              </w:rPr>
            </w:pPr>
            <w:r w:rsidRPr="005710EA">
              <w:rPr>
                <w:b/>
              </w:rPr>
              <w:t>Исключить</w:t>
            </w:r>
            <w:r>
              <w:rPr>
                <w:b/>
              </w:rPr>
              <w:t xml:space="preserve"> л</w:t>
            </w:r>
            <w:r w:rsidRPr="005710EA">
              <w:rPr>
                <w:b/>
              </w:rPr>
              <w:t>ибо</w:t>
            </w:r>
            <w:r>
              <w:rPr>
                <w:b/>
              </w:rPr>
              <w:t xml:space="preserve"> и</w:t>
            </w:r>
            <w:r w:rsidRPr="005710EA">
              <w:rPr>
                <w:b/>
              </w:rPr>
              <w:t>зложить в новой редакции в соответствии с законодательством о ПОД/ФТ</w:t>
            </w:r>
            <w:r>
              <w:rPr>
                <w:b/>
              </w:rPr>
              <w:t>:</w:t>
            </w:r>
          </w:p>
          <w:p w14:paraId="11F34A73" w14:textId="77777777" w:rsidR="00CF2B40" w:rsidRDefault="00CF2B40" w:rsidP="00CF2B40">
            <w:pPr>
              <w:jc w:val="both"/>
            </w:pPr>
            <w:r>
              <w:t>в) пункт 20 дополнить подпунктом «н» следующего содержания:</w:t>
            </w:r>
          </w:p>
          <w:p w14:paraId="3D7BD274" w14:textId="77777777" w:rsidR="00CF2B40" w:rsidRPr="006A6E47" w:rsidRDefault="00CF2B40" w:rsidP="00CF2B40">
            <w:pPr>
              <w:jc w:val="both"/>
              <w:rPr>
                <w:color w:val="000000" w:themeColor="text1"/>
              </w:rPr>
            </w:pPr>
            <w:r>
              <w:t xml:space="preserve">«н) сведения, содержащиеся в залоговом билете, скупочной квитанции, договоре комиссии и (или) купли-продажи (фамилия, имя, отчество (при наличии), число, месяц и год рождения, </w:t>
            </w:r>
            <w:r w:rsidRPr="006A6E47">
              <w:rPr>
                <w:strike/>
                <w:color w:val="000000" w:themeColor="text1"/>
              </w:rPr>
              <w:t>а также место рождения</w:t>
            </w:r>
            <w:r w:rsidRPr="006A6E47">
              <w:rPr>
                <w:color w:val="000000" w:themeColor="text1"/>
              </w:rPr>
              <w:t xml:space="preserve">, адрес регистрации </w:t>
            </w:r>
            <w:r w:rsidRPr="006A6E47">
              <w:rPr>
                <w:b/>
                <w:color w:val="000000" w:themeColor="text1"/>
              </w:rPr>
              <w:t>или</w:t>
            </w:r>
            <w:r w:rsidRPr="006A6E47">
              <w:rPr>
                <w:color w:val="000000" w:themeColor="text1"/>
              </w:rPr>
              <w:t xml:space="preserve"> адрес проживания, сведения о документе, удостоверяющем личность (тип, серия, номер, дата выдачи, кем выдан), для физических лиц-резидентов – ИНН </w:t>
            </w:r>
            <w:r w:rsidRPr="006A6E47">
              <w:rPr>
                <w:b/>
                <w:color w:val="000000" w:themeColor="text1"/>
              </w:rPr>
              <w:t>(при наличии)</w:t>
            </w:r>
            <w:r w:rsidRPr="006A6E47">
              <w:rPr>
                <w:strike/>
                <w:color w:val="000000" w:themeColor="text1"/>
              </w:rPr>
              <w:t>, для иностранных граждан – данные миграционной карты)</w:t>
            </w:r>
            <w:r w:rsidRPr="006A6E47">
              <w:rPr>
                <w:color w:val="000000" w:themeColor="text1"/>
              </w:rPr>
              <w:t>.»;</w:t>
            </w:r>
          </w:p>
          <w:p w14:paraId="41A3567F" w14:textId="77777777" w:rsidR="00CF2B40" w:rsidRPr="006A6E47" w:rsidRDefault="00CF2B40" w:rsidP="008D6264">
            <w:pPr>
              <w:rPr>
                <w:b/>
                <w:color w:val="000000" w:themeColor="text1"/>
              </w:rPr>
            </w:pPr>
          </w:p>
          <w:p w14:paraId="4B592CDF" w14:textId="1078C1E6" w:rsidR="008D6264" w:rsidRDefault="008D6264" w:rsidP="008D6264">
            <w:pPr>
              <w:ind w:firstLine="464"/>
              <w:jc w:val="both"/>
            </w:pPr>
            <w:r>
              <w:rPr>
                <w:iCs/>
                <w:color w:val="000000"/>
              </w:rPr>
              <w:t xml:space="preserve">2. </w:t>
            </w:r>
            <w:r>
              <w:t xml:space="preserve">Полагаем, что включение в состав субъектов </w:t>
            </w:r>
            <w:r w:rsidRPr="00117697">
              <w:rPr>
                <w:sz w:val="23"/>
                <w:szCs w:val="23"/>
              </w:rPr>
              <w:t>персональных данных, персональные данные которых обрабатываются в ГИИС ДМДК</w:t>
            </w:r>
            <w:r>
              <w:rPr>
                <w:sz w:val="23"/>
                <w:szCs w:val="23"/>
              </w:rPr>
              <w:t xml:space="preserve">, </w:t>
            </w:r>
            <w:r w:rsidRPr="00FA71D2">
              <w:t>учредител</w:t>
            </w:r>
            <w:r>
              <w:t>ей</w:t>
            </w:r>
            <w:r w:rsidRPr="00FA71D2">
              <w:t xml:space="preserve"> (участник</w:t>
            </w:r>
            <w:r>
              <w:t>ов</w:t>
            </w:r>
            <w:r w:rsidRPr="00FA71D2">
              <w:t>) юридического лица, осуществляющего операции с драгоценными металлами и драгоценными камнями и состоящего на специальном учете</w:t>
            </w:r>
            <w:r>
              <w:rPr>
                <w:sz w:val="23"/>
                <w:szCs w:val="23"/>
              </w:rPr>
              <w:t xml:space="preserve">, </w:t>
            </w:r>
            <w:r>
              <w:t xml:space="preserve">налагает избыточные обязанности для субъектов предпринимательской </w:t>
            </w:r>
            <w:r>
              <w:lastRenderedPageBreak/>
              <w:t>деятельности и способствует возникновению необоснованных расходов.</w:t>
            </w:r>
          </w:p>
          <w:p w14:paraId="371B50D0" w14:textId="403FFF36" w:rsidR="008D6264" w:rsidRDefault="008D6264" w:rsidP="008D6264">
            <w:pPr>
              <w:ind w:firstLine="464"/>
              <w:jc w:val="both"/>
            </w:pPr>
            <w:r>
              <w:t>Все необходимые сведения об учредителях (участниках) всех российских юридических лиц имеются у регистрирующего органа (ФНС России) в составе сведений, содержащихся в Едином государственном реестре юридических лиц, и могут быть получены в порядке межведомственного взаимоде</w:t>
            </w:r>
            <w:r w:rsidR="00FB11AD">
              <w:t xml:space="preserve">йствия без возложения на самого </w:t>
            </w:r>
            <w:r>
              <w:t>субъекта хозяйствования излишних обязанностей и затрат.</w:t>
            </w:r>
          </w:p>
          <w:p w14:paraId="29C83963" w14:textId="2DF80152" w:rsidR="008D6264" w:rsidRPr="00985164" w:rsidRDefault="008D6264" w:rsidP="008D6264">
            <w:pPr>
              <w:rPr>
                <w:iCs/>
                <w:color w:val="000000"/>
              </w:rPr>
            </w:pPr>
            <w:r w:rsidRPr="002C1F32">
              <w:rPr>
                <w:b/>
              </w:rPr>
              <w:t>На основании изложенного, просим исключить</w:t>
            </w:r>
            <w:r>
              <w:rPr>
                <w:b/>
              </w:rPr>
              <w:t xml:space="preserve"> слова «учредители (участники) и» из подпункта б) пункта 65 Раздела </w:t>
            </w:r>
            <w:r>
              <w:rPr>
                <w:b/>
                <w:lang w:val="en-US"/>
              </w:rPr>
              <w:t>XI</w:t>
            </w:r>
            <w:r>
              <w:rPr>
                <w:b/>
              </w:rPr>
              <w:t xml:space="preserve"> Правил, предлагаемого к включению подпунктом и) пункта 4 Изменений.</w:t>
            </w:r>
          </w:p>
          <w:p w14:paraId="7F820594" w14:textId="77777777" w:rsidR="00467FE7" w:rsidRPr="00467FE7" w:rsidRDefault="00467FE7" w:rsidP="00467FE7">
            <w:pPr>
              <w:jc w:val="both"/>
              <w:rPr>
                <w:color w:val="000000" w:themeColor="text1"/>
                <w:sz w:val="23"/>
                <w:szCs w:val="23"/>
              </w:rPr>
            </w:pPr>
            <w:r w:rsidRPr="00467FE7">
              <w:rPr>
                <w:color w:val="000000" w:themeColor="text1"/>
                <w:sz w:val="23"/>
                <w:szCs w:val="23"/>
              </w:rPr>
              <w:t>65. К субъектам персональных данных, персональные данные которых обрабатываются в ГИИС ДМДК, относятся:</w:t>
            </w:r>
          </w:p>
          <w:p w14:paraId="3A1CF022" w14:textId="77777777" w:rsidR="00467FE7" w:rsidRPr="00467FE7" w:rsidRDefault="00467FE7" w:rsidP="00467FE7">
            <w:pPr>
              <w:jc w:val="both"/>
              <w:rPr>
                <w:color w:val="000000" w:themeColor="text1"/>
              </w:rPr>
            </w:pPr>
            <w:r w:rsidRPr="00467FE7">
              <w:rPr>
                <w:color w:val="000000" w:themeColor="text1"/>
              </w:rPr>
              <w:t>а) …</w:t>
            </w:r>
          </w:p>
          <w:p w14:paraId="7E3E8346" w14:textId="03351B73" w:rsidR="00CA5C22" w:rsidRPr="00467FE7" w:rsidRDefault="00467FE7" w:rsidP="00467FE7">
            <w:pPr>
              <w:rPr>
                <w:color w:val="000000" w:themeColor="text1"/>
              </w:rPr>
            </w:pPr>
            <w:r w:rsidRPr="00467FE7">
              <w:rPr>
                <w:color w:val="000000" w:themeColor="text1"/>
              </w:rPr>
              <w:t xml:space="preserve">б) физические лица, имеющие право действовать от имени юридического лица, а также </w:t>
            </w:r>
            <w:r w:rsidRPr="00467FE7">
              <w:rPr>
                <w:strike/>
                <w:color w:val="000000" w:themeColor="text1"/>
              </w:rPr>
              <w:t>учредители (участники) и</w:t>
            </w:r>
            <w:r w:rsidRPr="00467FE7">
              <w:rPr>
                <w:color w:val="000000" w:themeColor="text1"/>
              </w:rPr>
              <w:t xml:space="preserve"> бенефициарные владельцы юридического лица, осуществляющего операции с драгоценными металлами и драгоценными камнями и состоящего на специальном учете;</w:t>
            </w:r>
          </w:p>
          <w:p w14:paraId="43D84091" w14:textId="77777777" w:rsidR="00410BA7" w:rsidRPr="001E7B14" w:rsidRDefault="00410BA7" w:rsidP="00F60CF8">
            <w:pPr>
              <w:rPr>
                <w:i/>
                <w:u w:val="single"/>
              </w:rPr>
            </w:pPr>
          </w:p>
        </w:tc>
        <w:tc>
          <w:tcPr>
            <w:tcW w:w="845" w:type="pct"/>
          </w:tcPr>
          <w:p w14:paraId="43749BE0" w14:textId="77777777" w:rsidR="00410BA7" w:rsidRDefault="00BF435D" w:rsidP="00420B23">
            <w:pPr>
              <w:widowControl w:val="0"/>
              <w:autoSpaceDE w:val="0"/>
              <w:autoSpaceDN w:val="0"/>
              <w:adjustRightInd w:val="0"/>
              <w:ind w:left="96"/>
              <w:jc w:val="center"/>
            </w:pPr>
            <w:r>
              <w:lastRenderedPageBreak/>
              <w:t xml:space="preserve">1. </w:t>
            </w:r>
            <w:r w:rsidR="00641C19">
              <w:t>Учтено.</w:t>
            </w:r>
          </w:p>
          <w:p w14:paraId="5A31DFAE" w14:textId="42999D7E" w:rsidR="00E92841" w:rsidRPr="00FB4717" w:rsidRDefault="00E92841" w:rsidP="00420B23">
            <w:pPr>
              <w:widowControl w:val="0"/>
              <w:autoSpaceDE w:val="0"/>
              <w:autoSpaceDN w:val="0"/>
              <w:adjustRightInd w:val="0"/>
              <w:ind w:left="96"/>
              <w:jc w:val="center"/>
            </w:pPr>
            <w:r>
              <w:t>2.</w:t>
            </w:r>
            <w:r w:rsidR="00412738">
              <w:t xml:space="preserve"> </w:t>
            </w:r>
            <w:r w:rsidR="00B6604B">
              <w:t>Не у</w:t>
            </w:r>
            <w:r w:rsidR="00412738">
              <w:t>чтено.</w:t>
            </w:r>
          </w:p>
        </w:tc>
        <w:tc>
          <w:tcPr>
            <w:tcW w:w="1674" w:type="pct"/>
            <w:tcMar>
              <w:top w:w="102" w:type="dxa"/>
              <w:left w:w="62" w:type="dxa"/>
              <w:bottom w:w="102" w:type="dxa"/>
              <w:right w:w="62" w:type="dxa"/>
            </w:tcMar>
          </w:tcPr>
          <w:p w14:paraId="0ED9E0A8" w14:textId="5FF1D869" w:rsidR="00641C19" w:rsidRDefault="00641C19" w:rsidP="00641C19">
            <w:pPr>
              <w:widowControl w:val="0"/>
              <w:autoSpaceDE w:val="0"/>
              <w:autoSpaceDN w:val="0"/>
              <w:adjustRightInd w:val="0"/>
              <w:ind w:left="18"/>
            </w:pPr>
            <w:r>
              <w:t>1. Полагаем возможным подпункт «б» пункта 4 изложить в следующей редакции:</w:t>
            </w:r>
          </w:p>
          <w:p w14:paraId="578C3305" w14:textId="77777777" w:rsidR="00641C19" w:rsidRDefault="00641C19" w:rsidP="00641C19">
            <w:pPr>
              <w:widowControl w:val="0"/>
              <w:autoSpaceDE w:val="0"/>
              <w:autoSpaceDN w:val="0"/>
              <w:adjustRightInd w:val="0"/>
              <w:ind w:left="18"/>
            </w:pPr>
            <w:r>
              <w:t xml:space="preserve">«б) пункт 20 дополнить подпунктом «н» </w:t>
            </w:r>
            <w:r>
              <w:lastRenderedPageBreak/>
              <w:t>следующего содержания:</w:t>
            </w:r>
          </w:p>
          <w:p w14:paraId="4F93448A" w14:textId="77777777" w:rsidR="00410BA7" w:rsidRDefault="00641C19" w:rsidP="00641C19">
            <w:pPr>
              <w:widowControl w:val="0"/>
              <w:autoSpaceDE w:val="0"/>
              <w:autoSpaceDN w:val="0"/>
              <w:adjustRightInd w:val="0"/>
              <w:ind w:left="18"/>
            </w:pPr>
            <w:r>
              <w:t>«н) сведения, содержащиеся в залоговом билете, скупочной квитанции, договоре комиссии и (или) купли-продажи (фамилия, имя, отчество (при наличии), дата рождения, адрес места жительства (регистрации) или места пребывания, сведения о документе, удостоверяющем личность (тип, серия (при наличии), номер, дата выдачи, кем выдан), идентификационный номер налогоплательщика (ИНН) (при наличии), для иностранных граждан и лиц без гражданства – также данные документа, подтверждающего право на пребывание (проживание) в Российской Федерации (данные миграционной карты в случае отсутствия иных документов) (если наличие таких документов обязательно в соответствии с международными договорами Российской Федерации и законодательством Российской Федерации).».</w:t>
            </w:r>
          </w:p>
          <w:p w14:paraId="1990C0D5" w14:textId="77777777" w:rsidR="002C7F87" w:rsidRDefault="002C7F87" w:rsidP="00371C60">
            <w:pPr>
              <w:widowControl w:val="0"/>
              <w:autoSpaceDE w:val="0"/>
              <w:autoSpaceDN w:val="0"/>
              <w:adjustRightInd w:val="0"/>
              <w:ind w:left="18"/>
            </w:pPr>
            <w:r>
              <w:t xml:space="preserve">2. </w:t>
            </w:r>
            <w:r w:rsidR="00AE60D1">
              <w:t xml:space="preserve">В соответствии с пунктом 3 Правил ведения </w:t>
            </w:r>
            <w:r w:rsidR="00AE60D1" w:rsidRPr="00AE60D1">
              <w:t>специального учета юридических лиц и индивидуальных предпринимателей, осуществляющих операции с драгоценными металлами и драгоценными камнями</w:t>
            </w:r>
            <w:r w:rsidR="00AE60D1">
              <w:t xml:space="preserve">, утвержденных постановлением Правительства Российской Федерации от </w:t>
            </w:r>
            <w:r w:rsidR="006A2AF7" w:rsidRPr="006A2AF7">
              <w:t xml:space="preserve">01.10.2015 </w:t>
            </w:r>
            <w:r w:rsidR="006A2AF7">
              <w:t>№</w:t>
            </w:r>
            <w:r w:rsidR="006A2AF7" w:rsidRPr="006A2AF7">
              <w:t xml:space="preserve"> 1052</w:t>
            </w:r>
            <w:r w:rsidR="006A2AF7">
              <w:t xml:space="preserve">, </w:t>
            </w:r>
            <w:r w:rsidR="00371C60">
              <w:t>р</w:t>
            </w:r>
            <w:r w:rsidR="00BA5A78" w:rsidRPr="00BA5A78">
              <w:t xml:space="preserve">еестр юридических лиц и индивидуальных предпринимателей, осуществляющих операции с драгоценными металлами и драгоценными камнями, ведется Федеральной пробирной </w:t>
            </w:r>
            <w:r w:rsidR="00BA5A78" w:rsidRPr="00BA5A78">
              <w:lastRenderedPageBreak/>
              <w:t>палатой в</w:t>
            </w:r>
            <w:r w:rsidR="00BA5A78">
              <w:t xml:space="preserve"> ГИИС ДМДК.</w:t>
            </w:r>
          </w:p>
          <w:p w14:paraId="6C40AA86" w14:textId="77777777" w:rsidR="00B92B11" w:rsidRDefault="00F5209C" w:rsidP="00B0275A">
            <w:pPr>
              <w:widowControl w:val="0"/>
              <w:autoSpaceDE w:val="0"/>
              <w:autoSpaceDN w:val="0"/>
              <w:adjustRightInd w:val="0"/>
              <w:ind w:left="18"/>
            </w:pPr>
            <w:r w:rsidRPr="00F5209C">
              <w:t>Сведени</w:t>
            </w:r>
            <w:r w:rsidR="00B0275A">
              <w:t>я</w:t>
            </w:r>
            <w:r w:rsidRPr="00F5209C">
              <w:t xml:space="preserve"> об учредителях</w:t>
            </w:r>
            <w:r>
              <w:t xml:space="preserve"> (участниках) юридического лица представляются </w:t>
            </w:r>
            <w:r w:rsidR="00AF149F">
              <w:t xml:space="preserve">организациями </w:t>
            </w:r>
            <w:r>
              <w:t xml:space="preserve">при регистрации в ГИИС ДМДК в соответствии с приказом Федеральной пробирной палаты от 16.11.2021 </w:t>
            </w:r>
            <w:r w:rsidR="001C47AA">
              <w:t xml:space="preserve">№ </w:t>
            </w:r>
            <w:r>
              <w:t>208н</w:t>
            </w:r>
            <w:r w:rsidR="00B46E50">
              <w:t xml:space="preserve"> </w:t>
            </w:r>
            <w:r w:rsidR="00BB7BEB">
              <w:t>«</w:t>
            </w:r>
            <w:r>
              <w:t>Об утверждении структуры сведений, вносимых в заявку о регистрации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порядка ее формирования и получения подтверждения о ее принятии».</w:t>
            </w:r>
          </w:p>
          <w:p w14:paraId="07DAD4F0" w14:textId="3C34DD10" w:rsidR="00347230" w:rsidRDefault="00347230" w:rsidP="00347230">
            <w:pPr>
              <w:widowControl w:val="0"/>
              <w:autoSpaceDE w:val="0"/>
              <w:autoSpaceDN w:val="0"/>
              <w:adjustRightInd w:val="0"/>
              <w:ind w:left="18"/>
            </w:pPr>
            <w:r>
              <w:t>Соответственно все сведения, вносимые в заявку о регистрации в ГИИС ДМДК,</w:t>
            </w:r>
            <w:r w:rsidR="000B7CD4">
              <w:t xml:space="preserve"> в том числе сведения об учредителях (участниках) юридического лица представляются в ГИИС ДМДК и</w:t>
            </w:r>
            <w:r>
              <w:t xml:space="preserve"> обрабатываются</w:t>
            </w:r>
            <w:r w:rsidR="00393D1F">
              <w:t xml:space="preserve"> в системе</w:t>
            </w:r>
            <w:r>
              <w:t>.</w:t>
            </w:r>
          </w:p>
          <w:p w14:paraId="465EEA5B" w14:textId="5307C5EB" w:rsidR="00347230" w:rsidRPr="00F50EF8" w:rsidRDefault="00347230" w:rsidP="00B0275A">
            <w:pPr>
              <w:widowControl w:val="0"/>
              <w:autoSpaceDE w:val="0"/>
              <w:autoSpaceDN w:val="0"/>
              <w:adjustRightInd w:val="0"/>
              <w:ind w:left="18"/>
            </w:pPr>
          </w:p>
        </w:tc>
      </w:tr>
      <w:tr w:rsidR="001F64A6" w:rsidRPr="00FB4717" w14:paraId="10DC2D08" w14:textId="77777777" w:rsidTr="00094368">
        <w:trPr>
          <w:gridAfter w:val="1"/>
          <w:wAfter w:w="5" w:type="pct"/>
          <w:trHeight w:val="147"/>
          <w:jc w:val="center"/>
        </w:trPr>
        <w:tc>
          <w:tcPr>
            <w:tcW w:w="183" w:type="pct"/>
            <w:tcMar>
              <w:top w:w="102" w:type="dxa"/>
              <w:left w:w="62" w:type="dxa"/>
              <w:bottom w:w="102" w:type="dxa"/>
              <w:right w:w="62" w:type="dxa"/>
            </w:tcMar>
          </w:tcPr>
          <w:p w14:paraId="079D2DE7" w14:textId="5C1232B0" w:rsidR="001F64A6" w:rsidRDefault="001F64A6" w:rsidP="00F60CF8">
            <w:pPr>
              <w:widowControl w:val="0"/>
              <w:autoSpaceDE w:val="0"/>
              <w:autoSpaceDN w:val="0"/>
              <w:adjustRightInd w:val="0"/>
              <w:jc w:val="center"/>
            </w:pPr>
            <w:r>
              <w:lastRenderedPageBreak/>
              <w:t>8.8.</w:t>
            </w:r>
          </w:p>
        </w:tc>
        <w:tc>
          <w:tcPr>
            <w:tcW w:w="2293" w:type="pct"/>
            <w:tcMar>
              <w:top w:w="102" w:type="dxa"/>
              <w:left w:w="62" w:type="dxa"/>
              <w:bottom w:w="102" w:type="dxa"/>
              <w:right w:w="62" w:type="dxa"/>
            </w:tcMar>
          </w:tcPr>
          <w:p w14:paraId="6056F8EE" w14:textId="77777777" w:rsidR="001F64A6" w:rsidRDefault="005E3C45" w:rsidP="00410BA7">
            <w:pPr>
              <w:rPr>
                <w:i/>
                <w:iCs/>
                <w:color w:val="000000"/>
                <w:u w:val="single"/>
              </w:rPr>
            </w:pPr>
            <w:r>
              <w:rPr>
                <w:i/>
                <w:iCs/>
                <w:color w:val="000000"/>
                <w:u w:val="single"/>
              </w:rPr>
              <w:t>Опора России</w:t>
            </w:r>
          </w:p>
          <w:p w14:paraId="44379F6B" w14:textId="77777777" w:rsidR="005E3C45" w:rsidRDefault="005E3C45" w:rsidP="005E3C45">
            <w:pPr>
              <w:jc w:val="both"/>
            </w:pPr>
            <w:r w:rsidRPr="007E2A03">
              <w:rPr>
                <w:b/>
              </w:rPr>
              <w:t>Подпунктом в) пункта 4 Изменений предлагается расширить перечень информации, подлежащей внесению в ГИИС ДМДК в отношении физических лиц</w:t>
            </w:r>
            <w:r>
              <w:t xml:space="preserve"> при совершении с указанными лицами залоговых операций, операций по скупке, заготовке и т.д.</w:t>
            </w:r>
          </w:p>
          <w:p w14:paraId="24EBA364" w14:textId="77777777" w:rsidR="005E3C45" w:rsidRDefault="005E3C45" w:rsidP="005E3C45">
            <w:pPr>
              <w:jc w:val="both"/>
            </w:pPr>
            <w:r>
              <w:t>В настоящее время обязательной к внесению в ГИИС ДМДК является следующая информация</w:t>
            </w:r>
            <w:r w:rsidRPr="007E2A03">
              <w:t xml:space="preserve"> </w:t>
            </w:r>
            <w:r>
              <w:t>о физическом лице</w:t>
            </w:r>
            <w:r w:rsidRPr="007E2A03">
              <w:t>:</w:t>
            </w:r>
            <w:r>
              <w:t xml:space="preserve"> </w:t>
            </w:r>
          </w:p>
          <w:p w14:paraId="7EE7ECCB" w14:textId="77777777" w:rsidR="005E3C45" w:rsidRDefault="005E3C45" w:rsidP="005E3C45">
            <w:pPr>
              <w:jc w:val="both"/>
            </w:pPr>
            <w:r w:rsidRPr="007E2A03">
              <w:t xml:space="preserve">фамилия, имя, отчество (при наличии), </w:t>
            </w:r>
          </w:p>
          <w:p w14:paraId="2274342A" w14:textId="77777777" w:rsidR="005E3C45" w:rsidRDefault="005E3C45" w:rsidP="005E3C45">
            <w:pPr>
              <w:jc w:val="both"/>
            </w:pPr>
            <w:r w:rsidRPr="007E2A03">
              <w:lastRenderedPageBreak/>
              <w:t xml:space="preserve">число, месяц и год рождения, </w:t>
            </w:r>
          </w:p>
          <w:p w14:paraId="5F01F204" w14:textId="77777777" w:rsidR="005E3C45" w:rsidRDefault="005E3C45" w:rsidP="005E3C45">
            <w:pPr>
              <w:jc w:val="both"/>
            </w:pPr>
            <w:r>
              <w:t>адрес (не конкретизирован какой именно адрес регистрации или адрес проживания),</w:t>
            </w:r>
          </w:p>
          <w:p w14:paraId="68AE7D96" w14:textId="77777777" w:rsidR="005E3C45" w:rsidRDefault="005E3C45" w:rsidP="005E3C45">
            <w:pPr>
              <w:jc w:val="both"/>
            </w:pPr>
            <w:r w:rsidRPr="007E2A03">
              <w:t>сведения о документе, удостоверяющем личность</w:t>
            </w:r>
            <w:r>
              <w:t>.</w:t>
            </w:r>
          </w:p>
          <w:p w14:paraId="0914C02F" w14:textId="77777777" w:rsidR="005E3C45" w:rsidRPr="005710EA" w:rsidRDefault="005E3C45" w:rsidP="005E3C45">
            <w:pPr>
              <w:jc w:val="both"/>
            </w:pPr>
            <w:r>
              <w:t>Проектом предполагается, что обязательному внесению в ГИИС ДМДК помимо перечисленных сведений будут подлежать</w:t>
            </w:r>
            <w:r w:rsidRPr="000B16DA">
              <w:t>:</w:t>
            </w:r>
          </w:p>
          <w:p w14:paraId="7C1D72A2" w14:textId="77777777" w:rsidR="005E3C45" w:rsidRDefault="005E3C45" w:rsidP="005E3C45">
            <w:pPr>
              <w:jc w:val="both"/>
            </w:pPr>
            <w:r>
              <w:t xml:space="preserve">данные ИНН (для резидентов), </w:t>
            </w:r>
          </w:p>
          <w:p w14:paraId="10C3AD76" w14:textId="77777777" w:rsidR="005E3C45" w:rsidRDefault="005E3C45" w:rsidP="005E3C45">
            <w:pPr>
              <w:jc w:val="both"/>
            </w:pPr>
            <w:r>
              <w:t xml:space="preserve">данные миграционной карты (для иностранных граждан), </w:t>
            </w:r>
          </w:p>
          <w:p w14:paraId="3DE23E0A" w14:textId="77777777" w:rsidR="005E3C45" w:rsidRDefault="005E3C45" w:rsidP="005E3C45">
            <w:pPr>
              <w:jc w:val="both"/>
            </w:pPr>
            <w:r>
              <w:t>сведения о месте рождения,</w:t>
            </w:r>
          </w:p>
          <w:p w14:paraId="2B72EBFD" w14:textId="77777777" w:rsidR="005E3C45" w:rsidRDefault="005E3C45" w:rsidP="005E3C45">
            <w:pPr>
              <w:jc w:val="both"/>
            </w:pPr>
            <w:r>
              <w:t>сведения как об адресе проживания, так и об адресе регистрации.</w:t>
            </w:r>
          </w:p>
          <w:p w14:paraId="4A386B9E" w14:textId="373E53EF" w:rsidR="005E3C45" w:rsidRDefault="005E3C45" w:rsidP="005E3C45">
            <w:pPr>
              <w:jc w:val="both"/>
              <w:rPr>
                <w:b/>
              </w:rPr>
            </w:pPr>
            <w:r w:rsidRPr="000B16DA">
              <w:rPr>
                <w:b/>
              </w:rPr>
              <w:t>Полагаем, что предлагаемые изменения являются чрезмерными, влекут дополнительную нагрузку на субъекты предпринимательства, не соответствуют требованиям законодательства в сфере ПОД/ФТ в части идентификации физических лиц</w:t>
            </w:r>
            <w:r>
              <w:rPr>
                <w:b/>
              </w:rPr>
              <w:t xml:space="preserve"> в силу следующего</w:t>
            </w:r>
            <w:r w:rsidRPr="000B16DA">
              <w:rPr>
                <w:b/>
              </w:rPr>
              <w:t>.</w:t>
            </w:r>
          </w:p>
          <w:p w14:paraId="718572D3" w14:textId="77777777" w:rsidR="005E3C45" w:rsidRDefault="005E3C45" w:rsidP="005E3C45">
            <w:pPr>
              <w:jc w:val="both"/>
            </w:pPr>
            <w:r w:rsidRPr="000832D6">
              <w:t>Согласно части 2 статьи 1, статье 18 ГК РФ физические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r>
              <w:t xml:space="preserve"> </w:t>
            </w:r>
            <w:r w:rsidRPr="00B01C79">
              <w:rPr>
                <w:i/>
              </w:rPr>
              <w:t>Гражданские права могут быть ограничены на основании федерального закона</w:t>
            </w:r>
            <w:r w:rsidRPr="000832D6">
              <w:t xml:space="preserve">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t xml:space="preserve"> </w:t>
            </w:r>
            <w:r w:rsidRPr="000832D6">
              <w:t>Граждане могут совершать любые не противоречащие закону сделки и участвовать в обязательствах.</w:t>
            </w:r>
          </w:p>
          <w:p w14:paraId="2792EE1B" w14:textId="4287691F" w:rsidR="005E3C45" w:rsidRDefault="005E3C45" w:rsidP="005E3C45">
            <w:pPr>
              <w:jc w:val="both"/>
              <w:rPr>
                <w:i/>
              </w:rPr>
            </w:pPr>
            <w:r w:rsidRPr="00C63127">
              <w:rPr>
                <w:i/>
              </w:rPr>
              <w:t>Праву физических лиц осуществлять свои гражданские права корреспондирует обязанность</w:t>
            </w:r>
            <w:r>
              <w:t xml:space="preserve"> (установленная ст. 7 </w:t>
            </w:r>
            <w:r w:rsidRPr="00B01C79">
              <w:t>Федеральн</w:t>
            </w:r>
            <w:r>
              <w:t>ого</w:t>
            </w:r>
            <w:r w:rsidRPr="00B01C79">
              <w:t xml:space="preserve"> закон</w:t>
            </w:r>
            <w:r>
              <w:t>а</w:t>
            </w:r>
            <w:r w:rsidRPr="00B01C79">
              <w:t xml:space="preserve"> от 07.08.2001 N 115-ФЗ </w:t>
            </w:r>
            <w:r>
              <w:t>«</w:t>
            </w:r>
            <w:r w:rsidRPr="00B01C79">
              <w:t xml:space="preserve">О противодействии легализации (отмыванию) доходов, полученных преступным путем, и </w:t>
            </w:r>
            <w:r w:rsidRPr="00B01C79">
              <w:lastRenderedPageBreak/>
              <w:t>финансированию терроризма</w:t>
            </w:r>
            <w:r>
              <w:t>», далее – 115-ФЗ)</w:t>
            </w:r>
            <w:r w:rsidRPr="00B01C79">
              <w:t xml:space="preserve"> </w:t>
            </w:r>
            <w:r w:rsidRPr="00C63127">
              <w:rPr>
                <w:i/>
              </w:rPr>
              <w:t>юридических лиц, осуществляющих операции с денежными средствами или иным имуществом, до приема физических лиц на обслуживание идентифицировать клиента.</w:t>
            </w:r>
          </w:p>
          <w:p w14:paraId="4AC5598D" w14:textId="77777777" w:rsidR="005E3C45" w:rsidRDefault="005E3C45" w:rsidP="005E3C45">
            <w:pPr>
              <w:jc w:val="both"/>
            </w:pPr>
            <w:r>
              <w:t xml:space="preserve">При этом согласно подпункту 1.1 пункта 1 статьи 7 115-ФЗ </w:t>
            </w:r>
            <w:r w:rsidRPr="00FB7323">
              <w:t>в отношении физических лиц</w:t>
            </w:r>
            <w:r>
              <w:t xml:space="preserve"> необходимо установление следующих сведений</w:t>
            </w:r>
            <w:r w:rsidRPr="00FB7323">
              <w:t>:</w:t>
            </w:r>
          </w:p>
          <w:p w14:paraId="1009449A" w14:textId="77777777" w:rsidR="005E3C45" w:rsidRDefault="005E3C45" w:rsidP="005E3C45">
            <w:pPr>
              <w:jc w:val="both"/>
            </w:pPr>
            <w:r w:rsidRPr="00FB7323">
              <w:t>фамили</w:t>
            </w:r>
            <w:r>
              <w:t>я</w:t>
            </w:r>
            <w:r w:rsidRPr="00FB7323">
              <w:t>, имя, отчество (</w:t>
            </w:r>
            <w:r>
              <w:t>при наличии</w:t>
            </w:r>
            <w:r w:rsidRPr="00FB7323">
              <w:t xml:space="preserve">), гражданство, </w:t>
            </w:r>
          </w:p>
          <w:p w14:paraId="4E997B45" w14:textId="77777777" w:rsidR="005E3C45" w:rsidRDefault="005E3C45" w:rsidP="005E3C45">
            <w:pPr>
              <w:jc w:val="both"/>
            </w:pPr>
            <w:r w:rsidRPr="00FB7323">
              <w:t>дат</w:t>
            </w:r>
            <w:r>
              <w:t>а</w:t>
            </w:r>
            <w:r w:rsidRPr="00FB7323">
              <w:t xml:space="preserve"> рождения,</w:t>
            </w:r>
          </w:p>
          <w:p w14:paraId="711AF02A" w14:textId="77777777" w:rsidR="005E3C45" w:rsidRDefault="005E3C45" w:rsidP="005E3C45">
            <w:pPr>
              <w:jc w:val="both"/>
            </w:pPr>
            <w:r w:rsidRPr="00FB7323">
              <w:t xml:space="preserve">реквизиты документа, удостоверяющего личность, </w:t>
            </w:r>
          </w:p>
          <w:p w14:paraId="317C5CE4" w14:textId="77777777" w:rsidR="005E3C45" w:rsidRDefault="005E3C45" w:rsidP="005E3C45">
            <w:pPr>
              <w:jc w:val="both"/>
            </w:pPr>
            <w:r w:rsidRPr="00FB7323">
              <w:t>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w:t>
            </w:r>
          </w:p>
          <w:p w14:paraId="0B046462" w14:textId="77777777" w:rsidR="005E3C45" w:rsidRDefault="005E3C45" w:rsidP="005E3C45">
            <w:pPr>
              <w:jc w:val="both"/>
            </w:pPr>
            <w:r w:rsidRPr="00FB7323">
              <w:t xml:space="preserve">адрес места жительства (регистрации) </w:t>
            </w:r>
            <w:r w:rsidRPr="00FB7323">
              <w:rPr>
                <w:b/>
              </w:rPr>
              <w:t xml:space="preserve">или </w:t>
            </w:r>
            <w:r w:rsidRPr="00FB7323">
              <w:t xml:space="preserve">места пребывания, </w:t>
            </w:r>
          </w:p>
          <w:p w14:paraId="428BB701" w14:textId="77777777" w:rsidR="005E3C45" w:rsidRDefault="005E3C45" w:rsidP="005E3C45">
            <w:pPr>
              <w:jc w:val="both"/>
            </w:pPr>
            <w:r w:rsidRPr="00FB7323">
              <w:t xml:space="preserve">идентификационный номер налогоплательщика </w:t>
            </w:r>
            <w:r w:rsidRPr="00FB7323">
              <w:rPr>
                <w:b/>
              </w:rPr>
              <w:t>(при его наличии)</w:t>
            </w:r>
            <w:r w:rsidRPr="00FB7323">
              <w:t>,</w:t>
            </w:r>
          </w:p>
          <w:p w14:paraId="04F86C12" w14:textId="77777777" w:rsidR="005E3C45" w:rsidRDefault="005E3C45" w:rsidP="005E3C45">
            <w:pPr>
              <w:jc w:val="both"/>
            </w:pPr>
            <w:r>
              <w:t xml:space="preserve">Аналогичный состав сведений содержится в </w:t>
            </w:r>
            <w:r w:rsidRPr="00852310">
              <w:t>Приказ</w:t>
            </w:r>
            <w:r>
              <w:t>е</w:t>
            </w:r>
            <w:r w:rsidRPr="00852310">
              <w:t xml:space="preserve"> Росфинмониторинга от 20.05.2022 N 100 </w:t>
            </w:r>
            <w:r>
              <w:t>«</w:t>
            </w:r>
            <w:r w:rsidRPr="00852310">
              <w:t>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r>
              <w:t>».</w:t>
            </w:r>
          </w:p>
          <w:p w14:paraId="4956A5B0" w14:textId="77777777" w:rsidR="005E3C45" w:rsidRPr="00945E5A" w:rsidRDefault="005E3C45" w:rsidP="005E3C45">
            <w:pPr>
              <w:jc w:val="both"/>
              <w:rPr>
                <w:i/>
              </w:rPr>
            </w:pPr>
            <w:r>
              <w:t xml:space="preserve">Таким образом, </w:t>
            </w:r>
            <w:r w:rsidRPr="00945E5A">
              <w:rPr>
                <w:i/>
              </w:rPr>
              <w:t>в рамках законодательства в сфере ПОД/ФТ для идентификации клиента не требуется место рождения клиента; устанавливается или адрес места жительства (регистрации) или адрес места пребывания, а не оба сразу; ИНН вносится при наличии; установлен иной пакет документов для иностранных граждан.</w:t>
            </w:r>
          </w:p>
          <w:p w14:paraId="1C1F1ECA" w14:textId="77777777" w:rsidR="005E3C45" w:rsidRPr="00945E5A" w:rsidRDefault="005E3C45" w:rsidP="005E3C45">
            <w:pPr>
              <w:jc w:val="both"/>
              <w:rPr>
                <w:i/>
              </w:rPr>
            </w:pPr>
            <w:r>
              <w:t xml:space="preserve">Указанные сведения фиксируются </w:t>
            </w:r>
            <w:r w:rsidRPr="00945E5A">
              <w:rPr>
                <w:i/>
              </w:rPr>
              <w:t>в Анкете клиента и хранятся в досье клиента.</w:t>
            </w:r>
            <w:r>
              <w:t xml:space="preserve"> В рамках законодательства о ПОД</w:t>
            </w:r>
            <w:r w:rsidRPr="00EC2F1E">
              <w:t>/</w:t>
            </w:r>
            <w:r>
              <w:t xml:space="preserve">ФТ </w:t>
            </w:r>
            <w:r w:rsidRPr="00945E5A">
              <w:rPr>
                <w:i/>
              </w:rPr>
              <w:t xml:space="preserve">субъекты </w:t>
            </w:r>
            <w:r w:rsidRPr="00945E5A">
              <w:rPr>
                <w:i/>
              </w:rPr>
              <w:lastRenderedPageBreak/>
              <w:t>предпринимательства обязаны осуществлять иные дополнительные мероприятия в целях идентификации клиента.</w:t>
            </w:r>
          </w:p>
          <w:p w14:paraId="33F6A680" w14:textId="70ECFAA7" w:rsidR="005E3C45" w:rsidRPr="005E3C45" w:rsidRDefault="005E3C45" w:rsidP="005E3C45">
            <w:pPr>
              <w:rPr>
                <w:iCs/>
                <w:color w:val="000000"/>
                <w:u w:val="single"/>
              </w:rPr>
            </w:pPr>
            <w:r w:rsidRPr="002C1F32">
              <w:rPr>
                <w:b/>
              </w:rPr>
              <w:t xml:space="preserve">На основании изложенного, просим исключить подпункт в) пункта 4 Изменений, поскольку </w:t>
            </w:r>
            <w:r w:rsidRPr="00842B9B">
              <w:rPr>
                <w:b/>
              </w:rPr>
              <w:t xml:space="preserve">установленные федеральным законом </w:t>
            </w:r>
            <w:r w:rsidRPr="002C1F32">
              <w:rPr>
                <w:b/>
              </w:rPr>
              <w:t>сведения о клиенте собираются в рамках законодательства в сфере ПОД/ФТ и фиксируются в предусмотренных указанны</w:t>
            </w:r>
            <w:r>
              <w:rPr>
                <w:b/>
              </w:rPr>
              <w:t>м законодательством документах</w:t>
            </w:r>
            <w:r w:rsidRPr="002C1F32">
              <w:rPr>
                <w:b/>
              </w:rPr>
              <w:t>.</w:t>
            </w:r>
          </w:p>
        </w:tc>
        <w:tc>
          <w:tcPr>
            <w:tcW w:w="845" w:type="pct"/>
          </w:tcPr>
          <w:p w14:paraId="185E3D17" w14:textId="7CA04621" w:rsidR="001F64A6" w:rsidRPr="00FB4717" w:rsidRDefault="009B2136" w:rsidP="009B2136">
            <w:pPr>
              <w:widowControl w:val="0"/>
              <w:autoSpaceDE w:val="0"/>
              <w:autoSpaceDN w:val="0"/>
              <w:adjustRightInd w:val="0"/>
              <w:ind w:left="96"/>
              <w:jc w:val="center"/>
            </w:pPr>
            <w:r>
              <w:lastRenderedPageBreak/>
              <w:t>Не учтено.</w:t>
            </w:r>
          </w:p>
        </w:tc>
        <w:tc>
          <w:tcPr>
            <w:tcW w:w="1674" w:type="pct"/>
            <w:tcMar>
              <w:top w:w="102" w:type="dxa"/>
              <w:left w:w="62" w:type="dxa"/>
              <w:bottom w:w="102" w:type="dxa"/>
              <w:right w:w="62" w:type="dxa"/>
            </w:tcMar>
          </w:tcPr>
          <w:p w14:paraId="35FCE4E7" w14:textId="6C1FC85B" w:rsidR="00A64DC5" w:rsidRDefault="0043103D" w:rsidP="00A64DC5">
            <w:pPr>
              <w:widowControl w:val="0"/>
              <w:autoSpaceDE w:val="0"/>
              <w:autoSpaceDN w:val="0"/>
              <w:adjustRightInd w:val="0"/>
              <w:ind w:left="18"/>
            </w:pPr>
            <w:r>
              <w:t>Полагаем возможным изложить п</w:t>
            </w:r>
            <w:r w:rsidR="00A64DC5">
              <w:t>одпункт «б» пункта 4 изложить в следующей редакции:</w:t>
            </w:r>
          </w:p>
          <w:p w14:paraId="41E63488" w14:textId="77777777" w:rsidR="00A64DC5" w:rsidRDefault="00A64DC5" w:rsidP="00A64DC5">
            <w:pPr>
              <w:widowControl w:val="0"/>
              <w:autoSpaceDE w:val="0"/>
              <w:autoSpaceDN w:val="0"/>
              <w:adjustRightInd w:val="0"/>
              <w:ind w:left="18"/>
            </w:pPr>
            <w:r>
              <w:t>«б) пункт 20 дополнить подпунктом «н» следующего содержания:</w:t>
            </w:r>
          </w:p>
          <w:p w14:paraId="725A64DB" w14:textId="377A0B3E" w:rsidR="001F64A6" w:rsidRPr="00F50EF8" w:rsidRDefault="00A64DC5" w:rsidP="00A64DC5">
            <w:pPr>
              <w:widowControl w:val="0"/>
              <w:autoSpaceDE w:val="0"/>
              <w:autoSpaceDN w:val="0"/>
              <w:adjustRightInd w:val="0"/>
              <w:ind w:left="18"/>
            </w:pPr>
            <w:r>
              <w:t xml:space="preserve">«н) сведения, содержащиеся в залоговом билете, скупочной квитанции, договоре комиссии и (или) купли-продажи (фамилия, имя, отчество (при наличии), дата рождения, адрес места жительства </w:t>
            </w:r>
            <w:r>
              <w:lastRenderedPageBreak/>
              <w:t>(регистрации) или места пребывания, сведения о документе, удостоверяющем личность (тип, серия (при наличии), номер, дата выдачи, кем выдан), идентификационный номер налогоплательщика (ИНН) (при наличии), для иностранных граждан и лиц без гражданства – также данные документа, подтверждающего право на пребывание (проживание) в Российской Федерации (данные миграционной карты в случае отсутствия иных документов) (если наличие таких документов обязательно в соответствии с международными договорами Российской Федерации и законодательством Российской Федерации).».</w:t>
            </w:r>
          </w:p>
        </w:tc>
      </w:tr>
    </w:tbl>
    <w:p w14:paraId="7F7B0093" w14:textId="77777777" w:rsidR="00A9396E" w:rsidRPr="00FB4717" w:rsidRDefault="00A9396E"/>
    <w:tbl>
      <w:tblPr>
        <w:tblStyle w:val="ae"/>
        <w:tblW w:w="0" w:type="auto"/>
        <w:jc w:val="center"/>
        <w:tblLook w:val="04A0" w:firstRow="1" w:lastRow="0" w:firstColumn="1" w:lastColumn="0" w:noHBand="0" w:noVBand="1"/>
      </w:tblPr>
      <w:tblGrid>
        <w:gridCol w:w="6658"/>
        <w:gridCol w:w="3535"/>
      </w:tblGrid>
      <w:tr w:rsidR="00AC6AF3" w:rsidRPr="00AC6AF3" w14:paraId="1BCA1AF2" w14:textId="77777777" w:rsidTr="00AC6AF3">
        <w:trPr>
          <w:jc w:val="center"/>
        </w:trPr>
        <w:tc>
          <w:tcPr>
            <w:tcW w:w="6658" w:type="dxa"/>
          </w:tcPr>
          <w:p w14:paraId="02EC515D" w14:textId="77777777" w:rsidR="00AC6AF3" w:rsidRPr="00AC6AF3" w:rsidRDefault="00AC6AF3" w:rsidP="00F60CF8">
            <w:pPr>
              <w:widowControl w:val="0"/>
              <w:autoSpaceDE w:val="0"/>
              <w:autoSpaceDN w:val="0"/>
              <w:adjustRightInd w:val="0"/>
              <w:jc w:val="both"/>
            </w:pPr>
            <w:r w:rsidRPr="00AC6AF3">
              <w:t>Общее количество поступивших замечаний</w:t>
            </w:r>
          </w:p>
        </w:tc>
        <w:tc>
          <w:tcPr>
            <w:tcW w:w="3535" w:type="dxa"/>
          </w:tcPr>
          <w:p w14:paraId="3EFA1A27" w14:textId="4FD9A20A" w:rsidR="00AC6AF3" w:rsidRPr="00AC6AF3" w:rsidRDefault="00CB4607" w:rsidP="00EE0782">
            <w:pPr>
              <w:widowControl w:val="0"/>
              <w:autoSpaceDE w:val="0"/>
              <w:autoSpaceDN w:val="0"/>
              <w:adjustRightInd w:val="0"/>
              <w:jc w:val="center"/>
            </w:pPr>
            <w:r>
              <w:t>11</w:t>
            </w:r>
          </w:p>
        </w:tc>
      </w:tr>
      <w:tr w:rsidR="00AC6AF3" w:rsidRPr="00AC6AF3" w14:paraId="4246938A" w14:textId="77777777" w:rsidTr="00AC6AF3">
        <w:trPr>
          <w:jc w:val="center"/>
        </w:trPr>
        <w:tc>
          <w:tcPr>
            <w:tcW w:w="6658" w:type="dxa"/>
          </w:tcPr>
          <w:p w14:paraId="3378790D" w14:textId="77777777" w:rsidR="00AC6AF3" w:rsidRPr="00AC6AF3" w:rsidRDefault="00AC6AF3" w:rsidP="00F60CF8">
            <w:pPr>
              <w:widowControl w:val="0"/>
              <w:autoSpaceDE w:val="0"/>
              <w:autoSpaceDN w:val="0"/>
              <w:adjustRightInd w:val="0"/>
              <w:jc w:val="both"/>
            </w:pPr>
            <w:r w:rsidRPr="00AC6AF3">
              <w:t>Количество учтенных замечаний</w:t>
            </w:r>
          </w:p>
        </w:tc>
        <w:tc>
          <w:tcPr>
            <w:tcW w:w="3535" w:type="dxa"/>
          </w:tcPr>
          <w:p w14:paraId="2FC8B7F9" w14:textId="64664F42" w:rsidR="00AC6AF3" w:rsidRPr="00AC6AF3" w:rsidRDefault="002627FA" w:rsidP="002627FA">
            <w:pPr>
              <w:widowControl w:val="0"/>
              <w:autoSpaceDE w:val="0"/>
              <w:autoSpaceDN w:val="0"/>
              <w:adjustRightInd w:val="0"/>
              <w:jc w:val="center"/>
            </w:pPr>
            <w:r>
              <w:t>2</w:t>
            </w:r>
          </w:p>
        </w:tc>
      </w:tr>
      <w:tr w:rsidR="00AC6AF3" w:rsidRPr="00AC6AF3" w14:paraId="12AF9608" w14:textId="77777777" w:rsidTr="00AC6AF3">
        <w:trPr>
          <w:jc w:val="center"/>
        </w:trPr>
        <w:tc>
          <w:tcPr>
            <w:tcW w:w="6658" w:type="dxa"/>
          </w:tcPr>
          <w:p w14:paraId="2896E4EF" w14:textId="77777777" w:rsidR="00AC6AF3" w:rsidRPr="00AC6AF3" w:rsidRDefault="00AC6AF3" w:rsidP="00F60CF8">
            <w:pPr>
              <w:widowControl w:val="0"/>
              <w:autoSpaceDE w:val="0"/>
              <w:autoSpaceDN w:val="0"/>
              <w:adjustRightInd w:val="0"/>
              <w:jc w:val="both"/>
            </w:pPr>
            <w:r w:rsidRPr="00AC6AF3">
              <w:t>Количество неучтенных замечаний</w:t>
            </w:r>
          </w:p>
        </w:tc>
        <w:tc>
          <w:tcPr>
            <w:tcW w:w="3535" w:type="dxa"/>
          </w:tcPr>
          <w:p w14:paraId="3FD96975" w14:textId="2FA0E5BA" w:rsidR="00AC6AF3" w:rsidRPr="00AC6AF3" w:rsidRDefault="00317561" w:rsidP="00757500">
            <w:pPr>
              <w:widowControl w:val="0"/>
              <w:autoSpaceDE w:val="0"/>
              <w:autoSpaceDN w:val="0"/>
              <w:adjustRightInd w:val="0"/>
              <w:jc w:val="center"/>
            </w:pPr>
            <w:r>
              <w:t>4</w:t>
            </w:r>
            <w:bookmarkStart w:id="2" w:name="_GoBack"/>
            <w:bookmarkEnd w:id="2"/>
          </w:p>
        </w:tc>
      </w:tr>
      <w:tr w:rsidR="00AC6AF3" w:rsidRPr="00AC6AF3" w14:paraId="094D0824" w14:textId="77777777" w:rsidTr="00AC6AF3">
        <w:trPr>
          <w:jc w:val="center"/>
        </w:trPr>
        <w:tc>
          <w:tcPr>
            <w:tcW w:w="6658" w:type="dxa"/>
          </w:tcPr>
          <w:p w14:paraId="751B734A" w14:textId="77777777" w:rsidR="00AC6AF3" w:rsidRPr="00AC6AF3" w:rsidRDefault="00AC6AF3" w:rsidP="00F60CF8">
            <w:pPr>
              <w:widowControl w:val="0"/>
              <w:autoSpaceDE w:val="0"/>
              <w:autoSpaceDN w:val="0"/>
              <w:adjustRightInd w:val="0"/>
              <w:jc w:val="both"/>
            </w:pPr>
            <w:r w:rsidRPr="00AC6AF3">
              <w:t>Количество частично учтенных замечаний</w:t>
            </w:r>
          </w:p>
        </w:tc>
        <w:tc>
          <w:tcPr>
            <w:tcW w:w="3535" w:type="dxa"/>
          </w:tcPr>
          <w:p w14:paraId="3922DB8A" w14:textId="5B38946E" w:rsidR="00AC6AF3" w:rsidRPr="00AC6AF3" w:rsidRDefault="00126194" w:rsidP="00A040F6">
            <w:pPr>
              <w:widowControl w:val="0"/>
              <w:autoSpaceDE w:val="0"/>
              <w:autoSpaceDN w:val="0"/>
              <w:adjustRightInd w:val="0"/>
              <w:jc w:val="center"/>
            </w:pPr>
            <w:r>
              <w:t>5</w:t>
            </w:r>
          </w:p>
        </w:tc>
      </w:tr>
    </w:tbl>
    <w:p w14:paraId="6024C437" w14:textId="77777777" w:rsidR="00A9396E" w:rsidRDefault="00A9396E"/>
    <w:p w14:paraId="75421353" w14:textId="77777777" w:rsidR="00AC6AF3" w:rsidRPr="00FB4717" w:rsidRDefault="00AC6AF3"/>
    <w:tbl>
      <w:tblPr>
        <w:tblStyle w:val="ae"/>
        <w:tblW w:w="9996" w:type="dxa"/>
        <w:jc w:val="center"/>
        <w:tblLook w:val="04A0" w:firstRow="1" w:lastRow="0" w:firstColumn="1" w:lastColumn="0" w:noHBand="0" w:noVBand="1"/>
      </w:tblPr>
      <w:tblGrid>
        <w:gridCol w:w="3180"/>
        <w:gridCol w:w="528"/>
        <w:gridCol w:w="3288"/>
        <w:gridCol w:w="444"/>
        <w:gridCol w:w="2556"/>
      </w:tblGrid>
      <w:tr w:rsidR="00A9396E" w:rsidRPr="00FB4717" w14:paraId="52320B7A" w14:textId="77777777" w:rsidTr="00FB4717">
        <w:trPr>
          <w:jc w:val="center"/>
        </w:trPr>
        <w:tc>
          <w:tcPr>
            <w:tcW w:w="3180" w:type="dxa"/>
            <w:tcBorders>
              <w:top w:val="nil"/>
              <w:left w:val="nil"/>
              <w:right w:val="nil"/>
            </w:tcBorders>
            <w:shd w:val="clear" w:color="auto" w:fill="auto"/>
          </w:tcPr>
          <w:p w14:paraId="1CF1C287" w14:textId="7AE95589" w:rsidR="00DD30E2" w:rsidRDefault="00551DF6" w:rsidP="00DD30E2">
            <w:pPr>
              <w:jc w:val="center"/>
            </w:pPr>
            <w:r>
              <w:t>Заместитель д</w:t>
            </w:r>
            <w:r w:rsidR="005E182E" w:rsidRPr="005E182E">
              <w:t>иректор</w:t>
            </w:r>
            <w:r>
              <w:t>а</w:t>
            </w:r>
            <w:r w:rsidR="005E182E" w:rsidRPr="005E182E">
              <w:t xml:space="preserve"> Департамента</w:t>
            </w:r>
            <w:r w:rsidR="005E182E">
              <w:t xml:space="preserve"> </w:t>
            </w:r>
            <w:r w:rsidR="005E182E" w:rsidRPr="005E182E">
              <w:t>государственного регулирования отрасли драгоценных металлов и драгоценных камней</w:t>
            </w:r>
          </w:p>
          <w:p w14:paraId="7D885003" w14:textId="6AAEEBC5" w:rsidR="00A9396E" w:rsidRPr="00FB4717" w:rsidRDefault="00551DF6" w:rsidP="00DD30E2">
            <w:pPr>
              <w:jc w:val="center"/>
            </w:pPr>
            <w:r>
              <w:t>Н.А. Маргаритов</w:t>
            </w:r>
          </w:p>
        </w:tc>
        <w:tc>
          <w:tcPr>
            <w:tcW w:w="528" w:type="dxa"/>
            <w:tcBorders>
              <w:top w:val="nil"/>
              <w:left w:val="nil"/>
              <w:bottom w:val="nil"/>
              <w:right w:val="nil"/>
            </w:tcBorders>
            <w:shd w:val="clear" w:color="auto" w:fill="auto"/>
          </w:tcPr>
          <w:p w14:paraId="717281B7" w14:textId="77777777" w:rsidR="00A9396E" w:rsidRPr="00FB4717" w:rsidRDefault="00A9396E"/>
        </w:tc>
        <w:tc>
          <w:tcPr>
            <w:tcW w:w="3288" w:type="dxa"/>
            <w:tcBorders>
              <w:top w:val="nil"/>
              <w:left w:val="nil"/>
              <w:right w:val="nil"/>
            </w:tcBorders>
            <w:shd w:val="clear" w:color="auto" w:fill="auto"/>
          </w:tcPr>
          <w:p w14:paraId="2E3B0403" w14:textId="77777777" w:rsidR="00AE3933" w:rsidRDefault="00AE3933" w:rsidP="00AA5BE8"/>
          <w:p w14:paraId="4349741D" w14:textId="77777777" w:rsidR="00AE3933" w:rsidRDefault="00AE3933" w:rsidP="00AA5BE8"/>
          <w:p w14:paraId="1AF95CD3" w14:textId="77777777" w:rsidR="00AE3933" w:rsidRDefault="00AE3933" w:rsidP="00AA5BE8"/>
          <w:p w14:paraId="78BC4D47" w14:textId="77777777" w:rsidR="00AE3933" w:rsidRDefault="00AE3933" w:rsidP="00AA5BE8"/>
          <w:p w14:paraId="38ACB462" w14:textId="77777777" w:rsidR="00AE3933" w:rsidRDefault="00AE3933" w:rsidP="00AA5BE8"/>
          <w:p w14:paraId="50E748C8" w14:textId="6AED9CFE" w:rsidR="00A9396E" w:rsidRPr="00FB4717" w:rsidRDefault="00512728" w:rsidP="00AA5BE8">
            <w:r w:rsidRPr="00FB4717">
              <w:t xml:space="preserve">« </w:t>
            </w:r>
            <w:r w:rsidR="00AD224D">
              <w:t>1</w:t>
            </w:r>
            <w:r w:rsidR="00110799">
              <w:t>6</w:t>
            </w:r>
            <w:r w:rsidRPr="00FB4717">
              <w:t xml:space="preserve">    »         </w:t>
            </w:r>
            <w:r w:rsidR="00AD224D">
              <w:t>мая</w:t>
            </w:r>
            <w:r w:rsidRPr="00FB4717">
              <w:t xml:space="preserve">           20</w:t>
            </w:r>
            <w:r w:rsidR="00AD224D">
              <w:t>24</w:t>
            </w:r>
            <w:r w:rsidRPr="00FB4717">
              <w:t xml:space="preserve"> г.</w:t>
            </w:r>
          </w:p>
        </w:tc>
        <w:tc>
          <w:tcPr>
            <w:tcW w:w="444" w:type="dxa"/>
            <w:tcBorders>
              <w:top w:val="nil"/>
              <w:left w:val="nil"/>
              <w:bottom w:val="nil"/>
              <w:right w:val="nil"/>
            </w:tcBorders>
            <w:shd w:val="clear" w:color="auto" w:fill="auto"/>
          </w:tcPr>
          <w:p w14:paraId="53E011DF" w14:textId="77777777" w:rsidR="00A9396E" w:rsidRPr="00FB4717" w:rsidRDefault="00A9396E"/>
        </w:tc>
        <w:tc>
          <w:tcPr>
            <w:tcW w:w="2556" w:type="dxa"/>
            <w:tcBorders>
              <w:top w:val="nil"/>
              <w:left w:val="nil"/>
              <w:right w:val="nil"/>
            </w:tcBorders>
            <w:shd w:val="clear" w:color="auto" w:fill="auto"/>
          </w:tcPr>
          <w:p w14:paraId="561A8375" w14:textId="77777777" w:rsidR="00A9396E" w:rsidRPr="00FB4717" w:rsidRDefault="00A9396E"/>
        </w:tc>
      </w:tr>
      <w:tr w:rsidR="00A9396E" w:rsidRPr="00FB4717" w14:paraId="51A18738" w14:textId="77777777" w:rsidTr="00FB4717">
        <w:trPr>
          <w:jc w:val="center"/>
        </w:trPr>
        <w:tc>
          <w:tcPr>
            <w:tcW w:w="3180" w:type="dxa"/>
            <w:tcBorders>
              <w:left w:val="nil"/>
              <w:bottom w:val="nil"/>
              <w:right w:val="nil"/>
            </w:tcBorders>
            <w:shd w:val="clear" w:color="auto" w:fill="auto"/>
          </w:tcPr>
          <w:p w14:paraId="64EF1758" w14:textId="77777777" w:rsidR="00A9396E" w:rsidRPr="00FB4717" w:rsidRDefault="00512728" w:rsidP="00FB4717">
            <w:pPr>
              <w:jc w:val="center"/>
            </w:pPr>
            <w:r w:rsidRPr="00FB4717">
              <w:t>ФИО руководителя</w:t>
            </w:r>
          </w:p>
        </w:tc>
        <w:tc>
          <w:tcPr>
            <w:tcW w:w="528" w:type="dxa"/>
            <w:tcBorders>
              <w:top w:val="nil"/>
              <w:left w:val="nil"/>
              <w:bottom w:val="nil"/>
              <w:right w:val="nil"/>
            </w:tcBorders>
            <w:shd w:val="clear" w:color="auto" w:fill="auto"/>
          </w:tcPr>
          <w:p w14:paraId="435F6482" w14:textId="77777777" w:rsidR="00A9396E" w:rsidRPr="00FB4717" w:rsidRDefault="00A9396E"/>
        </w:tc>
        <w:tc>
          <w:tcPr>
            <w:tcW w:w="3288" w:type="dxa"/>
            <w:tcBorders>
              <w:left w:val="nil"/>
              <w:bottom w:val="nil"/>
              <w:right w:val="nil"/>
            </w:tcBorders>
            <w:shd w:val="clear" w:color="auto" w:fill="auto"/>
          </w:tcPr>
          <w:p w14:paraId="3D9FAB64" w14:textId="77777777" w:rsidR="00A9396E" w:rsidRPr="00FB4717" w:rsidRDefault="00512728">
            <w:pPr>
              <w:jc w:val="center"/>
            </w:pPr>
            <w:r w:rsidRPr="00FB4717">
              <w:t>Дата</w:t>
            </w:r>
          </w:p>
        </w:tc>
        <w:tc>
          <w:tcPr>
            <w:tcW w:w="444" w:type="dxa"/>
            <w:tcBorders>
              <w:top w:val="nil"/>
              <w:left w:val="nil"/>
              <w:bottom w:val="nil"/>
              <w:right w:val="nil"/>
            </w:tcBorders>
            <w:shd w:val="clear" w:color="auto" w:fill="auto"/>
          </w:tcPr>
          <w:p w14:paraId="317EDED7" w14:textId="77777777" w:rsidR="00A9396E" w:rsidRPr="00FB4717" w:rsidRDefault="00A9396E"/>
        </w:tc>
        <w:tc>
          <w:tcPr>
            <w:tcW w:w="2556" w:type="dxa"/>
            <w:tcBorders>
              <w:left w:val="nil"/>
              <w:bottom w:val="nil"/>
              <w:right w:val="nil"/>
            </w:tcBorders>
            <w:shd w:val="clear" w:color="auto" w:fill="auto"/>
          </w:tcPr>
          <w:p w14:paraId="6B37AAD4" w14:textId="77777777" w:rsidR="00A9396E" w:rsidRPr="00FB4717" w:rsidRDefault="00512728">
            <w:pPr>
              <w:jc w:val="center"/>
            </w:pPr>
            <w:r w:rsidRPr="00FB4717">
              <w:t>Подпись</w:t>
            </w:r>
          </w:p>
        </w:tc>
      </w:tr>
    </w:tbl>
    <w:p w14:paraId="3CCD4117" w14:textId="77777777" w:rsidR="00A9396E" w:rsidRPr="00FB4717" w:rsidRDefault="00A9396E"/>
    <w:sectPr w:rsidR="00A9396E" w:rsidRPr="00FB4717" w:rsidSect="00FB4717">
      <w:pgSz w:w="16838" w:h="11906" w:orient="landscape"/>
      <w:pgMar w:top="1134" w:right="1134" w:bottom="1134" w:left="56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7F581" w14:textId="77777777" w:rsidR="00561655" w:rsidRDefault="00561655" w:rsidP="00D00003">
      <w:r>
        <w:separator/>
      </w:r>
    </w:p>
  </w:endnote>
  <w:endnote w:type="continuationSeparator" w:id="0">
    <w:p w14:paraId="06E06A27" w14:textId="77777777" w:rsidR="00561655" w:rsidRDefault="00561655" w:rsidP="00D0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altName w:val="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AC43A" w14:textId="77777777" w:rsidR="00561655" w:rsidRDefault="00561655" w:rsidP="00D00003">
      <w:r>
        <w:separator/>
      </w:r>
    </w:p>
  </w:footnote>
  <w:footnote w:type="continuationSeparator" w:id="0">
    <w:p w14:paraId="2E45AA5B" w14:textId="77777777" w:rsidR="00561655" w:rsidRDefault="00561655" w:rsidP="00D00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96E"/>
    <w:rsid w:val="00014879"/>
    <w:rsid w:val="00015462"/>
    <w:rsid w:val="00032980"/>
    <w:rsid w:val="00042CAC"/>
    <w:rsid w:val="000466E4"/>
    <w:rsid w:val="00084CC9"/>
    <w:rsid w:val="0009424A"/>
    <w:rsid w:val="00094368"/>
    <w:rsid w:val="000A0CF7"/>
    <w:rsid w:val="000A61ED"/>
    <w:rsid w:val="000A6479"/>
    <w:rsid w:val="000B7CD4"/>
    <w:rsid w:val="000C4B67"/>
    <w:rsid w:val="000E4130"/>
    <w:rsid w:val="00107E4D"/>
    <w:rsid w:val="00110799"/>
    <w:rsid w:val="001163B3"/>
    <w:rsid w:val="00121E77"/>
    <w:rsid w:val="0012341A"/>
    <w:rsid w:val="00126194"/>
    <w:rsid w:val="001508F8"/>
    <w:rsid w:val="00153F4C"/>
    <w:rsid w:val="001648A5"/>
    <w:rsid w:val="00164FB0"/>
    <w:rsid w:val="001801F9"/>
    <w:rsid w:val="001C47AA"/>
    <w:rsid w:val="001C6B15"/>
    <w:rsid w:val="001D3785"/>
    <w:rsid w:val="001D6592"/>
    <w:rsid w:val="001D7543"/>
    <w:rsid w:val="001E7B14"/>
    <w:rsid w:val="001F4B64"/>
    <w:rsid w:val="001F64A6"/>
    <w:rsid w:val="002030EA"/>
    <w:rsid w:val="00223EC0"/>
    <w:rsid w:val="002311AE"/>
    <w:rsid w:val="0024462D"/>
    <w:rsid w:val="00252608"/>
    <w:rsid w:val="002627FA"/>
    <w:rsid w:val="002776C7"/>
    <w:rsid w:val="00290E8F"/>
    <w:rsid w:val="002A1E8C"/>
    <w:rsid w:val="002B065B"/>
    <w:rsid w:val="002B0E5F"/>
    <w:rsid w:val="002C19BD"/>
    <w:rsid w:val="002C7F87"/>
    <w:rsid w:val="00317561"/>
    <w:rsid w:val="00325DF9"/>
    <w:rsid w:val="003333C6"/>
    <w:rsid w:val="00337DB2"/>
    <w:rsid w:val="003441F5"/>
    <w:rsid w:val="00345139"/>
    <w:rsid w:val="00347230"/>
    <w:rsid w:val="00371C60"/>
    <w:rsid w:val="00387733"/>
    <w:rsid w:val="003919EB"/>
    <w:rsid w:val="00393D1F"/>
    <w:rsid w:val="00397ACA"/>
    <w:rsid w:val="003A0820"/>
    <w:rsid w:val="003C1B5B"/>
    <w:rsid w:val="003D55EF"/>
    <w:rsid w:val="003E0182"/>
    <w:rsid w:val="00404BEE"/>
    <w:rsid w:val="00410BA7"/>
    <w:rsid w:val="00412738"/>
    <w:rsid w:val="00416913"/>
    <w:rsid w:val="00420B23"/>
    <w:rsid w:val="0043103D"/>
    <w:rsid w:val="00467FE7"/>
    <w:rsid w:val="004760F1"/>
    <w:rsid w:val="004765C8"/>
    <w:rsid w:val="00495C6E"/>
    <w:rsid w:val="004A35ED"/>
    <w:rsid w:val="004B6085"/>
    <w:rsid w:val="004D4E2D"/>
    <w:rsid w:val="004E258A"/>
    <w:rsid w:val="0050758A"/>
    <w:rsid w:val="00512728"/>
    <w:rsid w:val="00517C8A"/>
    <w:rsid w:val="00551DF6"/>
    <w:rsid w:val="005522C6"/>
    <w:rsid w:val="00561655"/>
    <w:rsid w:val="00562606"/>
    <w:rsid w:val="00566732"/>
    <w:rsid w:val="00582FCB"/>
    <w:rsid w:val="00585804"/>
    <w:rsid w:val="005A005E"/>
    <w:rsid w:val="005E182E"/>
    <w:rsid w:val="005E3C45"/>
    <w:rsid w:val="005E50B2"/>
    <w:rsid w:val="00617512"/>
    <w:rsid w:val="00634CCF"/>
    <w:rsid w:val="006378B1"/>
    <w:rsid w:val="00641C19"/>
    <w:rsid w:val="00677849"/>
    <w:rsid w:val="00695B26"/>
    <w:rsid w:val="006A2AF7"/>
    <w:rsid w:val="006A6E47"/>
    <w:rsid w:val="006B11C3"/>
    <w:rsid w:val="006C71B5"/>
    <w:rsid w:val="006E769A"/>
    <w:rsid w:val="00703B61"/>
    <w:rsid w:val="00712069"/>
    <w:rsid w:val="00712E69"/>
    <w:rsid w:val="00720C70"/>
    <w:rsid w:val="00727D5E"/>
    <w:rsid w:val="00732678"/>
    <w:rsid w:val="0075293E"/>
    <w:rsid w:val="00757500"/>
    <w:rsid w:val="00766A72"/>
    <w:rsid w:val="00772767"/>
    <w:rsid w:val="007A2887"/>
    <w:rsid w:val="007B44FD"/>
    <w:rsid w:val="007D2F6C"/>
    <w:rsid w:val="007D47FF"/>
    <w:rsid w:val="007E19C0"/>
    <w:rsid w:val="007F5D14"/>
    <w:rsid w:val="007F7A76"/>
    <w:rsid w:val="008028B6"/>
    <w:rsid w:val="008179DB"/>
    <w:rsid w:val="00846318"/>
    <w:rsid w:val="00865254"/>
    <w:rsid w:val="0088182C"/>
    <w:rsid w:val="00895D61"/>
    <w:rsid w:val="008A6E8C"/>
    <w:rsid w:val="008B72BD"/>
    <w:rsid w:val="008D27DD"/>
    <w:rsid w:val="008D6264"/>
    <w:rsid w:val="008E3144"/>
    <w:rsid w:val="008E6F22"/>
    <w:rsid w:val="008F2BD9"/>
    <w:rsid w:val="009309C0"/>
    <w:rsid w:val="0096140A"/>
    <w:rsid w:val="00974AC0"/>
    <w:rsid w:val="00985164"/>
    <w:rsid w:val="00995CAF"/>
    <w:rsid w:val="009B1BE3"/>
    <w:rsid w:val="009B2136"/>
    <w:rsid w:val="009C658A"/>
    <w:rsid w:val="009D0D57"/>
    <w:rsid w:val="009F17C8"/>
    <w:rsid w:val="009F58E8"/>
    <w:rsid w:val="00A040F6"/>
    <w:rsid w:val="00A25DCF"/>
    <w:rsid w:val="00A40919"/>
    <w:rsid w:val="00A572C9"/>
    <w:rsid w:val="00A64DC5"/>
    <w:rsid w:val="00A76D93"/>
    <w:rsid w:val="00A9396E"/>
    <w:rsid w:val="00AA5BE8"/>
    <w:rsid w:val="00AC08B9"/>
    <w:rsid w:val="00AC448F"/>
    <w:rsid w:val="00AC6AF3"/>
    <w:rsid w:val="00AD0198"/>
    <w:rsid w:val="00AD224D"/>
    <w:rsid w:val="00AD6EED"/>
    <w:rsid w:val="00AE3933"/>
    <w:rsid w:val="00AE4769"/>
    <w:rsid w:val="00AE60D1"/>
    <w:rsid w:val="00AF149F"/>
    <w:rsid w:val="00AF75A4"/>
    <w:rsid w:val="00AF75D1"/>
    <w:rsid w:val="00B0275A"/>
    <w:rsid w:val="00B06861"/>
    <w:rsid w:val="00B42346"/>
    <w:rsid w:val="00B46E50"/>
    <w:rsid w:val="00B47A82"/>
    <w:rsid w:val="00B64494"/>
    <w:rsid w:val="00B6604B"/>
    <w:rsid w:val="00B75554"/>
    <w:rsid w:val="00B92B11"/>
    <w:rsid w:val="00BA5A78"/>
    <w:rsid w:val="00BB7BEB"/>
    <w:rsid w:val="00BF1676"/>
    <w:rsid w:val="00BF3FFE"/>
    <w:rsid w:val="00BF435D"/>
    <w:rsid w:val="00C000F5"/>
    <w:rsid w:val="00C133B7"/>
    <w:rsid w:val="00C23F14"/>
    <w:rsid w:val="00C461F9"/>
    <w:rsid w:val="00C628B6"/>
    <w:rsid w:val="00C672BC"/>
    <w:rsid w:val="00C91CC0"/>
    <w:rsid w:val="00CA5C22"/>
    <w:rsid w:val="00CB4607"/>
    <w:rsid w:val="00CC474A"/>
    <w:rsid w:val="00CD1E04"/>
    <w:rsid w:val="00CF1444"/>
    <w:rsid w:val="00CF2B40"/>
    <w:rsid w:val="00CF3A9A"/>
    <w:rsid w:val="00D00003"/>
    <w:rsid w:val="00D137D8"/>
    <w:rsid w:val="00D13DBC"/>
    <w:rsid w:val="00D15ED6"/>
    <w:rsid w:val="00D2628B"/>
    <w:rsid w:val="00D51B1B"/>
    <w:rsid w:val="00D62B3F"/>
    <w:rsid w:val="00D84A75"/>
    <w:rsid w:val="00DB3A9B"/>
    <w:rsid w:val="00DD30E2"/>
    <w:rsid w:val="00DE479F"/>
    <w:rsid w:val="00E51162"/>
    <w:rsid w:val="00E92841"/>
    <w:rsid w:val="00E970CC"/>
    <w:rsid w:val="00EB67A4"/>
    <w:rsid w:val="00EC081B"/>
    <w:rsid w:val="00EC6073"/>
    <w:rsid w:val="00EE0782"/>
    <w:rsid w:val="00F13CAC"/>
    <w:rsid w:val="00F15AB5"/>
    <w:rsid w:val="00F50EF8"/>
    <w:rsid w:val="00F5209C"/>
    <w:rsid w:val="00F60CF8"/>
    <w:rsid w:val="00F87E3B"/>
    <w:rsid w:val="00FA6217"/>
    <w:rsid w:val="00FB11AD"/>
    <w:rsid w:val="00FB4717"/>
    <w:rsid w:val="00FB6668"/>
    <w:rsid w:val="00FD0506"/>
    <w:rsid w:val="00FE0BD6"/>
    <w:rsid w:val="00FE4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0996"/>
  <w15:docId w15:val="{73C98353-4D7E-4B66-B795-B12CF89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9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685503"/>
  </w:style>
  <w:style w:type="character" w:customStyle="1" w:styleId="a4">
    <w:name w:val="Текст выноски Знак"/>
    <w:qFormat/>
    <w:rsid w:val="00506197"/>
    <w:rPr>
      <w:rFonts w:ascii="Segoe UI" w:hAnsi="Segoe UI" w:cs="Segoe UI"/>
      <w:sz w:val="18"/>
      <w:szCs w:val="18"/>
    </w:rPr>
  </w:style>
  <w:style w:type="character" w:customStyle="1" w:styleId="-">
    <w:name w:val="Интернет-ссылка"/>
    <w:basedOn w:val="a0"/>
    <w:uiPriority w:val="99"/>
    <w:unhideWhenUsed/>
    <w:rsid w:val="00272233"/>
    <w:rPr>
      <w:color w:val="0000FF"/>
      <w:u w:val="single"/>
    </w:rPr>
  </w:style>
  <w:style w:type="character" w:customStyle="1" w:styleId="pt-000004">
    <w:name w:val="pt-000004"/>
    <w:basedOn w:val="a0"/>
    <w:qFormat/>
    <w:rsid w:val="00980900"/>
  </w:style>
  <w:style w:type="character" w:customStyle="1" w:styleId="a5">
    <w:name w:val="Нижний колонтитул Знак"/>
    <w:basedOn w:val="a0"/>
    <w:qFormat/>
    <w:rsid w:val="00980900"/>
    <w:rPr>
      <w:sz w:val="24"/>
      <w:szCs w:val="24"/>
    </w:rPr>
  </w:style>
  <w:style w:type="character" w:styleId="a6">
    <w:name w:val="Placeholder Text"/>
    <w:basedOn w:val="a0"/>
    <w:uiPriority w:val="99"/>
    <w:semiHidden/>
    <w:qFormat/>
    <w:rsid w:val="00072B9C"/>
    <w:rPr>
      <w:color w:val="808080"/>
    </w:rPr>
  </w:style>
  <w:style w:type="character" w:styleId="a7">
    <w:name w:val="FollowedHyperlink"/>
    <w:basedOn w:val="a0"/>
    <w:semiHidden/>
    <w:unhideWhenUsed/>
    <w:qFormat/>
    <w:rsid w:val="00812D32"/>
    <w:rPr>
      <w:color w:val="800080" w:themeColor="followedHyperlink"/>
      <w:u w:val="single"/>
    </w:rPr>
  </w:style>
  <w:style w:type="paragraph" w:customStyle="1" w:styleId="1">
    <w:name w:val="Заголовок1"/>
    <w:basedOn w:val="a"/>
    <w:next w:val="a8"/>
    <w:qFormat/>
    <w:rsid w:val="00A9396E"/>
    <w:pPr>
      <w:keepNext/>
      <w:spacing w:before="240" w:after="120"/>
    </w:pPr>
    <w:rPr>
      <w:rFonts w:ascii="Liberation Sans" w:eastAsia="Microsoft YaHei" w:hAnsi="Liberation Sans" w:cs="Arial"/>
      <w:sz w:val="28"/>
      <w:szCs w:val="28"/>
    </w:rPr>
  </w:style>
  <w:style w:type="paragraph" w:styleId="a8">
    <w:name w:val="Body Text"/>
    <w:basedOn w:val="a"/>
    <w:rsid w:val="00A9396E"/>
    <w:pPr>
      <w:spacing w:after="140" w:line="276" w:lineRule="auto"/>
    </w:pPr>
  </w:style>
  <w:style w:type="paragraph" w:styleId="a9">
    <w:name w:val="List"/>
    <w:basedOn w:val="a8"/>
    <w:rsid w:val="00A9396E"/>
    <w:rPr>
      <w:rFonts w:cs="Arial"/>
    </w:rPr>
  </w:style>
  <w:style w:type="paragraph" w:customStyle="1" w:styleId="10">
    <w:name w:val="Название объекта1"/>
    <w:basedOn w:val="a"/>
    <w:qFormat/>
    <w:rsid w:val="00A9396E"/>
    <w:pPr>
      <w:suppressLineNumbers/>
      <w:spacing w:before="120" w:after="120"/>
    </w:pPr>
    <w:rPr>
      <w:rFonts w:cs="Arial"/>
      <w:i/>
      <w:iCs/>
    </w:rPr>
  </w:style>
  <w:style w:type="paragraph" w:styleId="aa">
    <w:name w:val="index heading"/>
    <w:basedOn w:val="a"/>
    <w:qFormat/>
    <w:rsid w:val="00A9396E"/>
    <w:pPr>
      <w:suppressLineNumbers/>
    </w:pPr>
    <w:rPr>
      <w:rFonts w:cs="Arial"/>
    </w:rPr>
  </w:style>
  <w:style w:type="paragraph" w:customStyle="1" w:styleId="ab">
    <w:name w:val="Верхний и нижний колонтитулы"/>
    <w:basedOn w:val="a"/>
    <w:qFormat/>
    <w:rsid w:val="00A9396E"/>
  </w:style>
  <w:style w:type="paragraph" w:customStyle="1" w:styleId="11">
    <w:name w:val="Верхний колонтитул1"/>
    <w:basedOn w:val="a"/>
    <w:rsid w:val="00685503"/>
    <w:pPr>
      <w:tabs>
        <w:tab w:val="center" w:pos="4677"/>
        <w:tab w:val="right" w:pos="9355"/>
      </w:tabs>
    </w:pPr>
  </w:style>
  <w:style w:type="paragraph" w:customStyle="1" w:styleId="ConsPlusTitle">
    <w:name w:val="ConsPlusTitle"/>
    <w:qFormat/>
    <w:rsid w:val="007F6BFC"/>
    <w:rPr>
      <w:rFonts w:ascii="Arial" w:hAnsi="Arial" w:cs="Arial"/>
      <w:b/>
      <w:bCs/>
      <w:sz w:val="24"/>
    </w:rPr>
  </w:style>
  <w:style w:type="paragraph" w:styleId="ac">
    <w:name w:val="Balloon Text"/>
    <w:basedOn w:val="a"/>
    <w:qFormat/>
    <w:rsid w:val="00506197"/>
    <w:rPr>
      <w:rFonts w:ascii="Segoe UI" w:hAnsi="Segoe UI"/>
      <w:sz w:val="18"/>
      <w:szCs w:val="18"/>
    </w:rPr>
  </w:style>
  <w:style w:type="paragraph" w:styleId="ad">
    <w:name w:val="List Paragraph"/>
    <w:basedOn w:val="a"/>
    <w:uiPriority w:val="34"/>
    <w:qFormat/>
    <w:rsid w:val="00980900"/>
    <w:pPr>
      <w:ind w:left="720"/>
      <w:contextualSpacing/>
    </w:pPr>
  </w:style>
  <w:style w:type="paragraph" w:customStyle="1" w:styleId="12">
    <w:name w:val="Нижний колонтитул1"/>
    <w:basedOn w:val="a"/>
    <w:unhideWhenUsed/>
    <w:rsid w:val="00980900"/>
    <w:pPr>
      <w:tabs>
        <w:tab w:val="center" w:pos="4677"/>
        <w:tab w:val="right" w:pos="9355"/>
      </w:tabs>
    </w:pPr>
  </w:style>
  <w:style w:type="table" w:styleId="ae">
    <w:name w:val="Table Grid"/>
    <w:basedOn w:val="a1"/>
    <w:uiPriority w:val="39"/>
    <w:rsid w:val="0061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ody">
    <w:name w:val="table_body"/>
    <w:uiPriority w:val="99"/>
    <w:rsid w:val="00980900"/>
    <w:pPr>
      <w:spacing w:after="160" w:line="259" w:lineRule="auto"/>
    </w:pPr>
    <w:tblPr>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top w:w="50" w:type="dxa"/>
        <w:left w:w="50" w:type="dxa"/>
        <w:bottom w:w="50" w:type="dxa"/>
        <w:right w:w="50" w:type="dxa"/>
      </w:tblCellMar>
    </w:tblPr>
  </w:style>
  <w:style w:type="paragraph" w:styleId="af">
    <w:name w:val="Document Map"/>
    <w:basedOn w:val="a"/>
    <w:link w:val="af0"/>
    <w:semiHidden/>
    <w:unhideWhenUsed/>
    <w:rsid w:val="00512728"/>
    <w:rPr>
      <w:rFonts w:ascii="Tahoma" w:hAnsi="Tahoma" w:cs="Tahoma"/>
      <w:sz w:val="16"/>
      <w:szCs w:val="16"/>
    </w:rPr>
  </w:style>
  <w:style w:type="character" w:customStyle="1" w:styleId="af0">
    <w:name w:val="Схема документа Знак"/>
    <w:basedOn w:val="a0"/>
    <w:link w:val="af"/>
    <w:semiHidden/>
    <w:rsid w:val="00512728"/>
    <w:rPr>
      <w:rFonts w:ascii="Tahoma" w:hAnsi="Tahoma" w:cs="Tahoma"/>
      <w:sz w:val="16"/>
      <w:szCs w:val="16"/>
    </w:rPr>
  </w:style>
  <w:style w:type="paragraph" w:customStyle="1" w:styleId="ConsPlusNormal">
    <w:name w:val="ConsPlusNormal"/>
    <w:rsid w:val="00FB4717"/>
    <w:pPr>
      <w:widowControl w:val="0"/>
      <w:autoSpaceDE w:val="0"/>
      <w:autoSpaceDN w:val="0"/>
      <w:adjustRightInd w:val="0"/>
      <w:ind w:firstLine="720"/>
    </w:pPr>
    <w:rPr>
      <w:rFonts w:ascii="Arial" w:hAnsi="Arial" w:cs="Arial"/>
    </w:rPr>
  </w:style>
  <w:style w:type="character" w:styleId="af1">
    <w:name w:val="Hyperlink"/>
    <w:basedOn w:val="a0"/>
    <w:uiPriority w:val="99"/>
    <w:unhideWhenUsed/>
    <w:rsid w:val="00F50EF8"/>
    <w:rPr>
      <w:color w:val="0000FF" w:themeColor="hyperlink"/>
      <w:u w:val="single"/>
    </w:rPr>
  </w:style>
  <w:style w:type="paragraph" w:customStyle="1" w:styleId="Default">
    <w:name w:val="Default"/>
    <w:rsid w:val="00B4234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232477">
      <w:bodyDiv w:val="1"/>
      <w:marLeft w:val="0"/>
      <w:marRight w:val="0"/>
      <w:marTop w:val="0"/>
      <w:marBottom w:val="0"/>
      <w:divBdr>
        <w:top w:val="none" w:sz="0" w:space="0" w:color="auto"/>
        <w:left w:val="none" w:sz="0" w:space="0" w:color="auto"/>
        <w:bottom w:val="none" w:sz="0" w:space="0" w:color="auto"/>
        <w:right w:val="none" w:sz="0" w:space="0" w:color="auto"/>
      </w:divBdr>
      <w:divsChild>
        <w:div w:id="519128639">
          <w:marLeft w:val="0"/>
          <w:marRight w:val="0"/>
          <w:marTop w:val="0"/>
          <w:marBottom w:val="0"/>
          <w:divBdr>
            <w:top w:val="none" w:sz="0" w:space="0" w:color="auto"/>
            <w:left w:val="none" w:sz="0" w:space="0" w:color="auto"/>
            <w:bottom w:val="none" w:sz="0" w:space="0" w:color="auto"/>
            <w:right w:val="none" w:sz="0" w:space="0" w:color="auto"/>
          </w:divBdr>
          <w:divsChild>
            <w:div w:id="280966118">
              <w:marLeft w:val="1800"/>
              <w:marRight w:val="0"/>
              <w:marTop w:val="0"/>
              <w:marBottom w:val="0"/>
              <w:divBdr>
                <w:top w:val="none" w:sz="0" w:space="0" w:color="auto"/>
                <w:left w:val="none" w:sz="0" w:space="0" w:color="auto"/>
                <w:bottom w:val="none" w:sz="0" w:space="0" w:color="auto"/>
                <w:right w:val="none" w:sz="0" w:space="0" w:color="auto"/>
              </w:divBdr>
            </w:div>
          </w:divsChild>
        </w:div>
        <w:div w:id="1149133512">
          <w:marLeft w:val="1800"/>
          <w:marRight w:val="0"/>
          <w:marTop w:val="345"/>
          <w:marBottom w:val="0"/>
          <w:divBdr>
            <w:top w:val="none" w:sz="0" w:space="0" w:color="auto"/>
            <w:left w:val="none" w:sz="0" w:space="0" w:color="auto"/>
            <w:bottom w:val="none" w:sz="0" w:space="0" w:color="auto"/>
            <w:right w:val="none" w:sz="0" w:space="0" w:color="auto"/>
          </w:divBdr>
          <w:divsChild>
            <w:div w:id="2043743591">
              <w:marLeft w:val="0"/>
              <w:marRight w:val="0"/>
              <w:marTop w:val="0"/>
              <w:marBottom w:val="0"/>
              <w:divBdr>
                <w:top w:val="none" w:sz="0" w:space="0" w:color="auto"/>
                <w:left w:val="none" w:sz="0" w:space="0" w:color="auto"/>
                <w:bottom w:val="none" w:sz="0" w:space="0" w:color="auto"/>
                <w:right w:val="none" w:sz="0" w:space="0" w:color="auto"/>
              </w:divBdr>
              <w:divsChild>
                <w:div w:id="18009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5705">
          <w:marLeft w:val="0"/>
          <w:marRight w:val="0"/>
          <w:marTop w:val="0"/>
          <w:marBottom w:val="0"/>
          <w:divBdr>
            <w:top w:val="none" w:sz="0" w:space="0" w:color="auto"/>
            <w:left w:val="none" w:sz="0" w:space="0" w:color="auto"/>
            <w:bottom w:val="none" w:sz="0" w:space="0" w:color="auto"/>
            <w:right w:val="none" w:sz="0" w:space="0" w:color="auto"/>
          </w:divBdr>
          <w:divsChild>
            <w:div w:id="431055394">
              <w:marLeft w:val="0"/>
              <w:marRight w:val="0"/>
              <w:marTop w:val="0"/>
              <w:marBottom w:val="0"/>
              <w:divBdr>
                <w:top w:val="none" w:sz="0" w:space="0" w:color="auto"/>
                <w:left w:val="none" w:sz="0" w:space="0" w:color="auto"/>
                <w:bottom w:val="none" w:sz="0" w:space="0" w:color="auto"/>
                <w:right w:val="none" w:sz="0" w:space="0" w:color="auto"/>
              </w:divBdr>
              <w:divsChild>
                <w:div w:id="118798311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04869">
      <w:bodyDiv w:val="1"/>
      <w:marLeft w:val="0"/>
      <w:marRight w:val="0"/>
      <w:marTop w:val="0"/>
      <w:marBottom w:val="0"/>
      <w:divBdr>
        <w:top w:val="none" w:sz="0" w:space="0" w:color="auto"/>
        <w:left w:val="none" w:sz="0" w:space="0" w:color="auto"/>
        <w:bottom w:val="none" w:sz="0" w:space="0" w:color="auto"/>
        <w:right w:val="none" w:sz="0" w:space="0" w:color="auto"/>
      </w:divBdr>
    </w:div>
    <w:div w:id="2077123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imofeeva@tpprf.ru" TargetMode="External"/><Relationship Id="rId3" Type="http://schemas.openxmlformats.org/officeDocument/2006/relationships/settings" Target="settings.xml"/><Relationship Id="rId7" Type="http://schemas.openxmlformats.org/officeDocument/2006/relationships/hyperlink" Target="mailto:janemisurov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0303B-3566-4BD9-98BB-099182A1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3707</TotalTime>
  <Pages>22</Pages>
  <Words>5847</Words>
  <Characters>33332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Сводка замечаний и предложений,</vt:lpstr>
    </vt:vector>
  </TitlesOfParts>
  <Company>МЭР РФ</Company>
  <LinksUpToDate>false</LinksUpToDate>
  <CharactersWithSpaces>39101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Сводка замечаний и предложений,</dc:title>
  <dc:subject/>
  <dc:creator>Image-ПК</dc:creator>
  <dc:description/>
  <cp:lastModifiedBy>ГЛАЗУНОВА НИНО МЕРАБОВНА</cp:lastModifiedBy>
  <cp:revision>250</cp:revision>
  <cp:lastPrinted>2024-05-14T11:30:00Z</cp:lastPrinted>
  <dcterms:created xsi:type="dcterms:W3CDTF">2023-09-14T23:19:00Z</dcterms:created>
  <dcterms:modified xsi:type="dcterms:W3CDTF">2024-05-16T14:07:00Z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МЭР РФ</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ies>
</file>