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10" w:rsidRDefault="00C46622">
      <w:pPr>
        <w:spacing w:after="0" w:line="240" w:lineRule="auto"/>
        <w:jc w:val="center"/>
        <w:rPr>
          <w:sz w:val="18"/>
          <w:szCs w:val="18"/>
        </w:rPr>
      </w:pPr>
      <w:r>
        <w:rPr>
          <w:rFonts w:ascii="Arial" w:hAnsi="Arial"/>
          <w:b/>
          <w:bCs/>
          <w:color w:val="000000" w:themeColor="text1"/>
          <w:spacing w:val="-4"/>
          <w:sz w:val="28"/>
          <w:szCs w:val="28"/>
        </w:rPr>
        <w:t>Коллективное обращение о необходимости принятия поправок в НК РФ в части введения специальных налоговых режимов для предприятий ювелирной отрасли</w:t>
      </w:r>
      <w:r>
        <w:rPr>
          <w:rFonts w:ascii="Times New Roman" w:hAnsi="Times New Roman"/>
          <w:color w:val="000000" w:themeColor="text1"/>
          <w:spacing w:val="-4"/>
          <w:sz w:val="18"/>
          <w:szCs w:val="18"/>
        </w:rPr>
        <w:t xml:space="preserve"> </w:t>
      </w:r>
    </w:p>
    <w:p w:rsidR="00BF2110" w:rsidRDefault="00BF21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4"/>
          <w:sz w:val="18"/>
          <w:szCs w:val="18"/>
        </w:rPr>
      </w:pPr>
    </w:p>
    <w:p w:rsidR="00BF2110" w:rsidRPr="001270EC" w:rsidRDefault="00C46622" w:rsidP="001270EC">
      <w:pPr>
        <w:spacing w:after="0" w:line="276" w:lineRule="auto"/>
        <w:jc w:val="both"/>
        <w:rPr>
          <w:sz w:val="19"/>
          <w:szCs w:val="19"/>
          <w:lang w:val="en-US"/>
        </w:rPr>
      </w:pPr>
      <w:r>
        <w:rPr>
          <w:rFonts w:ascii="Times New Roman" w:hAnsi="Times New Roman"/>
          <w:color w:val="000000" w:themeColor="text1"/>
          <w:sz w:val="19"/>
          <w:szCs w:val="19"/>
        </w:rPr>
        <w:tab/>
      </w:r>
      <w:r>
        <w:rPr>
          <w:rFonts w:ascii="Arial" w:hAnsi="Arial"/>
          <w:color w:val="000000" w:themeColor="text1"/>
          <w:sz w:val="19"/>
          <w:szCs w:val="19"/>
        </w:rPr>
        <w:t>9 марта 2022 года Президент Российской Федерации В.В. Путин подписал Федеральный закон от 09.03.2022 № 47-ФЗ «О внесении изменений в часть вторую Налогового кодекса Российской Федерации».</w:t>
      </w:r>
    </w:p>
    <w:p w:rsidR="00BF2110" w:rsidRDefault="00C46622" w:rsidP="001270EC">
      <w:pPr>
        <w:spacing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</w:r>
      <w:r w:rsidR="007F3815" w:rsidRPr="007F3815">
        <w:rPr>
          <w:rFonts w:ascii="Arial" w:hAnsi="Arial"/>
          <w:color w:val="000000" w:themeColor="text1"/>
          <w:sz w:val="19"/>
          <w:szCs w:val="19"/>
        </w:rPr>
        <w:t>В связи с тем, что закон предусматривал важный в сложившейся геополитической ситуации альтернативный инструмент накопления сре</w:t>
      </w:r>
      <w:proofErr w:type="gramStart"/>
      <w:r w:rsidR="007F3815" w:rsidRPr="007F3815">
        <w:rPr>
          <w:rFonts w:ascii="Arial" w:hAnsi="Arial"/>
          <w:color w:val="000000" w:themeColor="text1"/>
          <w:sz w:val="19"/>
          <w:szCs w:val="19"/>
        </w:rPr>
        <w:t>дств гр</w:t>
      </w:r>
      <w:proofErr w:type="gramEnd"/>
      <w:r w:rsidR="007F3815" w:rsidRPr="007F3815">
        <w:rPr>
          <w:rFonts w:ascii="Arial" w:hAnsi="Arial"/>
          <w:color w:val="000000" w:themeColor="text1"/>
          <w:sz w:val="19"/>
          <w:szCs w:val="19"/>
        </w:rPr>
        <w:t>аждан и принимался в кратчайшие сроки, - детального обсуждения и общественных слушаний законопроекта не было. При этом наравне с отменой НДС на покупку золота для физических лиц была отменена возможность применения УСН и Патента (ПСН) практически для всей ювелирной отрасли с 01.01.2023 г. Это отразится на деятельности более 19  000 компаний (а это свыше 90% участников рынка).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color w:val="000000" w:themeColor="text1"/>
          <w:sz w:val="19"/>
          <w:szCs w:val="19"/>
        </w:rPr>
        <w:tab/>
        <w:t xml:space="preserve">Мы, представители малого бизнеса в ювелирной отрасли, выражаем крайнюю обеспокоенность последствиями принятия данного закона! 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>По мнению участников рынка ДМДК, принятие указанных изменений в части отмены специаль</w:t>
      </w:r>
      <w:r w:rsidR="00664231">
        <w:rPr>
          <w:rFonts w:ascii="Arial" w:hAnsi="Arial"/>
          <w:color w:val="000000" w:themeColor="text1"/>
          <w:sz w:val="19"/>
          <w:szCs w:val="19"/>
        </w:rPr>
        <w:t>ных налоговых режимов</w:t>
      </w:r>
      <w:r>
        <w:rPr>
          <w:rFonts w:ascii="Arial" w:hAnsi="Arial"/>
          <w:color w:val="000000" w:themeColor="text1"/>
          <w:sz w:val="19"/>
          <w:szCs w:val="19"/>
        </w:rPr>
        <w:t xml:space="preserve"> можно объяснить только интересами двух-трех десятков представителей крупного бизнеса в сфере производства и реализации ювелирных изделий, тех компаний, которые стремятся создать доминирующее положение на рынке ювелирной продукции.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>Согласно п. 1 ст. 7 Федерального закона от 24.07.2007 № 209-ФЗ «О развитии малого и среднего предпринимательства в Российской Федерации» специальные налоговые режимы были введены для субъектов среднего и малого предпринимательства с целью поддержки, развития и компенсации административных затрат при ведении бизнеса.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 xml:space="preserve">В реестре </w:t>
      </w:r>
      <w:proofErr w:type="spellStart"/>
      <w:r>
        <w:rPr>
          <w:rFonts w:ascii="Arial" w:hAnsi="Arial"/>
          <w:color w:val="000000" w:themeColor="text1"/>
          <w:sz w:val="19"/>
          <w:szCs w:val="19"/>
        </w:rPr>
        <w:t>спецучета</w:t>
      </w:r>
      <w:proofErr w:type="spellEnd"/>
      <w:r>
        <w:rPr>
          <w:rFonts w:ascii="Arial" w:hAnsi="Arial"/>
          <w:color w:val="000000" w:themeColor="text1"/>
          <w:sz w:val="19"/>
          <w:szCs w:val="19"/>
        </w:rPr>
        <w:t xml:space="preserve"> Федеральной пробирной палаты по состоянию на 01.03.2022 числится 21 109 субъектов хозяйственной деятельности, занятых в отрасли драгоценных металлов и драгоценных камней. Более 90 % от общего числа являются представителями малого и среднего бизнеса (ООО – 7697, ИП — 11602).</w:t>
      </w:r>
    </w:p>
    <w:p w:rsidR="001270EC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b/>
          <w:bCs/>
          <w:color w:val="000000" w:themeColor="text1"/>
          <w:sz w:val="19"/>
          <w:szCs w:val="19"/>
          <w:lang w:val="en-US"/>
        </w:rPr>
      </w:pPr>
      <w:r>
        <w:rPr>
          <w:rFonts w:ascii="Arial" w:hAnsi="Arial"/>
          <w:b/>
          <w:bCs/>
          <w:color w:val="000000" w:themeColor="text1"/>
          <w:sz w:val="19"/>
          <w:szCs w:val="19"/>
        </w:rPr>
        <w:tab/>
      </w:r>
    </w:p>
    <w:p w:rsidR="00BF2110" w:rsidRDefault="00C46622" w:rsidP="001270EC">
      <w:pPr>
        <w:spacing w:beforeAutospacing="1" w:afterAutospacing="1" w:line="276" w:lineRule="auto"/>
        <w:ind w:firstLine="708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color w:val="000000" w:themeColor="text1"/>
          <w:sz w:val="19"/>
          <w:szCs w:val="19"/>
        </w:rPr>
        <w:t xml:space="preserve">Согласно данным Реестра </w:t>
      </w:r>
      <w:proofErr w:type="spellStart"/>
      <w:r>
        <w:rPr>
          <w:rFonts w:ascii="Arial" w:hAnsi="Arial"/>
          <w:b/>
          <w:bCs/>
          <w:color w:val="000000" w:themeColor="text1"/>
          <w:sz w:val="19"/>
          <w:szCs w:val="19"/>
        </w:rPr>
        <w:t>спецучета</w:t>
      </w:r>
      <w:proofErr w:type="spellEnd"/>
      <w:r>
        <w:rPr>
          <w:rFonts w:ascii="Arial" w:hAnsi="Arial"/>
          <w:b/>
          <w:bCs/>
          <w:color w:val="000000" w:themeColor="text1"/>
          <w:sz w:val="19"/>
          <w:szCs w:val="19"/>
        </w:rPr>
        <w:t xml:space="preserve"> Федеральной пробирной палаты и Единого реестра МСП на 10.03.2022:</w:t>
      </w:r>
    </w:p>
    <w:tbl>
      <w:tblPr>
        <w:tblStyle w:val="afe"/>
        <w:tblW w:w="9585" w:type="dxa"/>
        <w:tblLayout w:type="fixed"/>
        <w:tblLook w:val="04A0" w:firstRow="1" w:lastRow="0" w:firstColumn="1" w:lastColumn="0" w:noHBand="0" w:noVBand="1"/>
      </w:tblPr>
      <w:tblGrid>
        <w:gridCol w:w="5059"/>
        <w:gridCol w:w="4526"/>
      </w:tblGrid>
      <w:tr w:rsidR="00BF2110">
        <w:trPr>
          <w:trHeight w:val="286"/>
        </w:trPr>
        <w:tc>
          <w:tcPr>
            <w:tcW w:w="5058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Категория бизнеса ДМДК</w:t>
            </w:r>
          </w:p>
        </w:tc>
        <w:tc>
          <w:tcPr>
            <w:tcW w:w="4526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Количество</w:t>
            </w:r>
          </w:p>
        </w:tc>
      </w:tr>
      <w:tr w:rsidR="00BF2110">
        <w:trPr>
          <w:trHeight w:val="223"/>
        </w:trPr>
        <w:tc>
          <w:tcPr>
            <w:tcW w:w="5058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микро</w:t>
            </w:r>
          </w:p>
        </w:tc>
        <w:tc>
          <w:tcPr>
            <w:tcW w:w="4526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17 136</w:t>
            </w:r>
          </w:p>
        </w:tc>
      </w:tr>
      <w:tr w:rsidR="00BF2110">
        <w:trPr>
          <w:trHeight w:val="271"/>
        </w:trPr>
        <w:tc>
          <w:tcPr>
            <w:tcW w:w="5058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малый</w:t>
            </w:r>
          </w:p>
        </w:tc>
        <w:tc>
          <w:tcPr>
            <w:tcW w:w="4526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1 899</w:t>
            </w:r>
          </w:p>
        </w:tc>
      </w:tr>
      <w:tr w:rsidR="00BF2110">
        <w:trPr>
          <w:trHeight w:val="200"/>
        </w:trPr>
        <w:tc>
          <w:tcPr>
            <w:tcW w:w="5058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средний</w:t>
            </w:r>
          </w:p>
        </w:tc>
        <w:tc>
          <w:tcPr>
            <w:tcW w:w="4526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264</w:t>
            </w:r>
          </w:p>
        </w:tc>
      </w:tr>
      <w:tr w:rsidR="00BF2110">
        <w:trPr>
          <w:trHeight w:val="220"/>
        </w:trPr>
        <w:tc>
          <w:tcPr>
            <w:tcW w:w="5058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9"/>
                <w:szCs w:val="19"/>
              </w:rPr>
              <w:t>Итого</w:t>
            </w:r>
          </w:p>
        </w:tc>
        <w:tc>
          <w:tcPr>
            <w:tcW w:w="4526" w:type="dxa"/>
            <w:shd w:val="clear" w:color="auto" w:fill="auto"/>
          </w:tcPr>
          <w:p w:rsidR="00BF2110" w:rsidRDefault="00C46622">
            <w:pPr>
              <w:widowControl w:val="0"/>
              <w:spacing w:beforeAutospacing="1" w:after="0" w:line="276" w:lineRule="auto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19"/>
                <w:szCs w:val="19"/>
              </w:rPr>
              <w:t>19 299</w:t>
            </w:r>
          </w:p>
        </w:tc>
      </w:tr>
    </w:tbl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color w:val="000000" w:themeColor="text1"/>
          <w:sz w:val="19"/>
          <w:szCs w:val="19"/>
          <w:lang w:val="en-US"/>
        </w:rPr>
      </w:pPr>
      <w:r>
        <w:rPr>
          <w:rFonts w:ascii="Arial" w:hAnsi="Arial"/>
          <w:color w:val="000000" w:themeColor="text1"/>
          <w:sz w:val="19"/>
          <w:szCs w:val="19"/>
        </w:rPr>
        <w:tab/>
      </w:r>
    </w:p>
    <w:p w:rsidR="00BF2110" w:rsidRPr="001270EC" w:rsidRDefault="00C46622">
      <w:pPr>
        <w:spacing w:beforeAutospacing="1" w:afterAutospacing="1" w:line="276" w:lineRule="auto"/>
        <w:ind w:firstLine="708"/>
        <w:contextualSpacing/>
        <w:jc w:val="both"/>
        <w:rPr>
          <w:rFonts w:ascii="Arial" w:hAnsi="Arial"/>
          <w:b/>
          <w:color w:val="000000" w:themeColor="text1"/>
          <w:sz w:val="19"/>
          <w:szCs w:val="19"/>
        </w:rPr>
      </w:pPr>
      <w:r>
        <w:rPr>
          <w:rFonts w:ascii="Arial" w:hAnsi="Arial"/>
          <w:b/>
          <w:color w:val="000000" w:themeColor="text1"/>
          <w:sz w:val="19"/>
          <w:szCs w:val="19"/>
        </w:rPr>
        <w:t xml:space="preserve">Отмена </w:t>
      </w:r>
      <w:r>
        <w:rPr>
          <w:rFonts w:ascii="Arial" w:hAnsi="Arial"/>
          <w:b/>
          <w:color w:val="000000" w:themeColor="text1"/>
          <w:sz w:val="19"/>
          <w:szCs w:val="19"/>
          <w:highlight w:val="white"/>
        </w:rPr>
        <w:t xml:space="preserve">специальных налоговых режимов </w:t>
      </w:r>
      <w:r>
        <w:rPr>
          <w:rFonts w:ascii="Arial" w:hAnsi="Arial"/>
          <w:b/>
          <w:color w:val="000000" w:themeColor="text1"/>
          <w:sz w:val="19"/>
          <w:szCs w:val="19"/>
        </w:rPr>
        <w:t xml:space="preserve">с 01.01.2023 г. </w:t>
      </w:r>
      <w:proofErr w:type="gramStart"/>
      <w:r>
        <w:rPr>
          <w:rFonts w:ascii="Arial" w:hAnsi="Arial"/>
          <w:b/>
          <w:color w:val="000000" w:themeColor="text1"/>
          <w:sz w:val="19"/>
          <w:szCs w:val="19"/>
        </w:rPr>
        <w:t>для</w:t>
      </w:r>
      <w:proofErr w:type="gramEnd"/>
      <w:r>
        <w:rPr>
          <w:rFonts w:ascii="Arial" w:hAnsi="Arial"/>
          <w:b/>
          <w:color w:val="000000" w:themeColor="text1"/>
          <w:sz w:val="19"/>
          <w:szCs w:val="19"/>
        </w:rPr>
        <w:t xml:space="preserve"> более </w:t>
      </w:r>
      <w:proofErr w:type="gramStart"/>
      <w:r>
        <w:rPr>
          <w:rFonts w:ascii="Arial" w:hAnsi="Arial"/>
          <w:b/>
          <w:color w:val="000000" w:themeColor="text1"/>
          <w:sz w:val="19"/>
          <w:szCs w:val="19"/>
        </w:rPr>
        <w:t>чем</w:t>
      </w:r>
      <w:proofErr w:type="gramEnd"/>
      <w:r>
        <w:rPr>
          <w:rFonts w:ascii="Arial" w:hAnsi="Arial"/>
          <w:b/>
          <w:color w:val="000000" w:themeColor="text1"/>
          <w:sz w:val="19"/>
          <w:szCs w:val="19"/>
        </w:rPr>
        <w:t xml:space="preserve"> 19 000 субъектов малого ювелирного бизнеса будет иметь катастрофические последствия для всей отрасли. </w:t>
      </w:r>
      <w:bookmarkStart w:id="0" w:name="_Hlk97718441"/>
      <w:bookmarkEnd w:id="0"/>
    </w:p>
    <w:p w:rsidR="001270EC" w:rsidRPr="001270EC" w:rsidRDefault="001270EC" w:rsidP="001270EC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>Согласно расчет</w:t>
      </w:r>
      <w:r w:rsidR="007F3815">
        <w:rPr>
          <w:rFonts w:ascii="Arial" w:hAnsi="Arial"/>
          <w:color w:val="000000" w:themeColor="text1"/>
          <w:sz w:val="19"/>
          <w:szCs w:val="19"/>
        </w:rPr>
        <w:t>ам</w:t>
      </w:r>
      <w:r>
        <w:rPr>
          <w:rFonts w:ascii="Arial" w:hAnsi="Arial"/>
          <w:color w:val="000000" w:themeColor="text1"/>
          <w:sz w:val="19"/>
          <w:szCs w:val="19"/>
        </w:rPr>
        <w:t xml:space="preserve"> депутата Госдумы РФ Резника В.М. (автор изменений), отмена специальных режимов должна привести к увеличению налоговых поступлений на 20-30 </w:t>
      </w:r>
      <w:proofErr w:type="gramStart"/>
      <w:r>
        <w:rPr>
          <w:rFonts w:ascii="Arial" w:hAnsi="Arial"/>
          <w:color w:val="000000" w:themeColor="text1"/>
          <w:sz w:val="19"/>
          <w:szCs w:val="19"/>
        </w:rPr>
        <w:t>млрд</w:t>
      </w:r>
      <w:proofErr w:type="gramEnd"/>
      <w:r>
        <w:rPr>
          <w:rFonts w:ascii="Arial" w:hAnsi="Arial"/>
          <w:color w:val="000000" w:themeColor="text1"/>
          <w:sz w:val="19"/>
          <w:szCs w:val="19"/>
        </w:rPr>
        <w:t xml:space="preserve"> руб. То есть НДС 20 % будет взиматься с оборота 100-150 млрд рублей.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 xml:space="preserve">На практике, по результатам опросов субъектов МСП, при введении НДС и ОСНО свою деятельность прекратят более 94% участников. То есть оборот в отрасли уменьшится на 90-135 </w:t>
      </w:r>
      <w:proofErr w:type="gramStart"/>
      <w:r>
        <w:rPr>
          <w:rFonts w:ascii="Arial" w:hAnsi="Arial"/>
          <w:color w:val="000000" w:themeColor="text1"/>
          <w:sz w:val="19"/>
          <w:szCs w:val="19"/>
        </w:rPr>
        <w:t>млрд</w:t>
      </w:r>
      <w:proofErr w:type="gramEnd"/>
      <w:r>
        <w:rPr>
          <w:rFonts w:ascii="Arial" w:hAnsi="Arial"/>
          <w:color w:val="000000" w:themeColor="text1"/>
          <w:sz w:val="19"/>
          <w:szCs w:val="19"/>
        </w:rPr>
        <w:t xml:space="preserve"> рублей, а уплата от НДС будет всего 2-3 млрд рублей. 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 xml:space="preserve">Российские ювелирные изделия являются одним из немногих потребительских товаров, успешно конкурирующих с зарубежными аналогами. 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color w:val="000000" w:themeColor="text1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 xml:space="preserve">Принятая инициатива по упразднению специальных налоговых режимов в ювелирной отрасли приведет к целому ряду негативных последствий: </w:t>
      </w:r>
    </w:p>
    <w:p w:rsidR="00BF2110" w:rsidRDefault="00C46622">
      <w:pPr>
        <w:spacing w:beforeAutospacing="1" w:afterAutospacing="1" w:line="276" w:lineRule="auto"/>
        <w:ind w:firstLine="708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>- закрытие большинства субъектов малого бизнеса в связи с существенным увеличением затрат;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>- уменьшение поступления налоговых платежей в бюджет в связи с сокращением объектов налогообложения;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 xml:space="preserve">- значительное повышение затрат на ведение бухучета на ОСНО. Потребуется привлечение в штат квалифицированного бухгалтера, приобретение с постоянным техническим обслуживанием бухгалтерских программ для ведения учета, возрастет в десятки раз количество отчетов о деятельности предприятия. Для предприятий с количеством сотрудников от 1 до 5-7 (ювелирные мастерские, скупки, мелкие торговые предприятия, комиссионные магазины) экономическая целесообразность продолжения деятельности </w:t>
      </w:r>
      <w:r w:rsidR="007F3815" w:rsidRPr="007F3815">
        <w:rPr>
          <w:rFonts w:ascii="Arial" w:hAnsi="Arial"/>
          <w:color w:val="000000" w:themeColor="text1"/>
          <w:sz w:val="19"/>
          <w:szCs w:val="19"/>
        </w:rPr>
        <w:t>в предлагаемых условиях фактически сведется к нулю</w:t>
      </w:r>
      <w:r>
        <w:rPr>
          <w:rFonts w:ascii="Arial" w:hAnsi="Arial"/>
          <w:color w:val="000000" w:themeColor="text1"/>
          <w:sz w:val="19"/>
          <w:szCs w:val="19"/>
        </w:rPr>
        <w:t>;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>- объём теневого сектора на рынке ювелирных изделий вероятнее всего увеличится;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>- доля крупных торговых сетей и крупных производителей ювелирных изделий на рынке вырастет. Следовательно, скорее всего</w:t>
      </w:r>
      <w:r w:rsidR="007F3815">
        <w:rPr>
          <w:rFonts w:ascii="Arial" w:hAnsi="Arial"/>
          <w:color w:val="000000" w:themeColor="text1"/>
          <w:sz w:val="19"/>
          <w:szCs w:val="19"/>
        </w:rPr>
        <w:t>,</w:t>
      </w:r>
      <w:r>
        <w:rPr>
          <w:rFonts w:ascii="Arial" w:hAnsi="Arial"/>
          <w:color w:val="000000" w:themeColor="text1"/>
          <w:sz w:val="19"/>
          <w:szCs w:val="19"/>
        </w:rPr>
        <w:t xml:space="preserve"> вырастут и цены. Катализатором этого процесса выступит снижение конку</w:t>
      </w:r>
      <w:bookmarkStart w:id="1" w:name="_GoBack"/>
      <w:bookmarkEnd w:id="1"/>
      <w:r>
        <w:rPr>
          <w:rFonts w:ascii="Arial" w:hAnsi="Arial"/>
          <w:color w:val="000000" w:themeColor="text1"/>
          <w:sz w:val="19"/>
          <w:szCs w:val="19"/>
        </w:rPr>
        <w:t>ренции;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lastRenderedPageBreak/>
        <w:tab/>
        <w:t>- безработица и социальная напряженность. Порядка 200-300 тысяч граждан, занятых в отрасли, останутся без работы и сре</w:t>
      </w:r>
      <w:proofErr w:type="gramStart"/>
      <w:r>
        <w:rPr>
          <w:rFonts w:ascii="Arial" w:hAnsi="Arial"/>
          <w:color w:val="000000" w:themeColor="text1"/>
          <w:sz w:val="19"/>
          <w:szCs w:val="19"/>
        </w:rPr>
        <w:t>дств к с</w:t>
      </w:r>
      <w:proofErr w:type="gramEnd"/>
      <w:r>
        <w:rPr>
          <w:rFonts w:ascii="Arial" w:hAnsi="Arial"/>
          <w:color w:val="000000" w:themeColor="text1"/>
          <w:sz w:val="19"/>
          <w:szCs w:val="19"/>
        </w:rPr>
        <w:t>уществованию. Если считать, что в среднем на каждом малом предприятии трудится по 5 человек, то получаем 100 000 сотрудников, а вместе с членами их семей это 200 000 – 300 000 человек, которые останутся без весомой части дохода;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>- малая доля оставшихся на рынке малых предприятий при реализации товаров после перехода на ОСНО заплатит 36 % с выручки (20% НДС + 20% налог на прибыль) – эта сумма равна 56% надбавки после налогообложения (36/(100-36)). Это больше чем прибыль розничны</w:t>
      </w:r>
      <w:r w:rsidR="007F3815">
        <w:rPr>
          <w:rFonts w:ascii="Arial" w:hAnsi="Arial"/>
          <w:color w:val="000000" w:themeColor="text1"/>
          <w:sz w:val="19"/>
          <w:szCs w:val="19"/>
        </w:rPr>
        <w:t>х магазинов</w:t>
      </w:r>
      <w:r w:rsidR="00983342">
        <w:rPr>
          <w:rFonts w:ascii="Arial" w:hAnsi="Arial"/>
          <w:color w:val="000000" w:themeColor="text1"/>
          <w:sz w:val="19"/>
          <w:szCs w:val="19"/>
        </w:rPr>
        <w:t xml:space="preserve">, а также </w:t>
      </w:r>
      <w:r>
        <w:rPr>
          <w:rFonts w:ascii="Arial" w:hAnsi="Arial"/>
          <w:color w:val="000000" w:themeColor="text1"/>
          <w:sz w:val="19"/>
          <w:szCs w:val="19"/>
        </w:rPr>
        <w:t xml:space="preserve">значительно выше наценки производственных и оптовых компаний. Оплаченные затраты на УСН и ПСН нельзя будет отнести к затратам на ОСНО, также не будет принят НДС к зачету (п.2 ст.346.25 НК РФ). 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>Чтобы получить прибыль</w:t>
      </w:r>
      <w:r w:rsidR="00983342">
        <w:rPr>
          <w:rFonts w:ascii="Arial" w:hAnsi="Arial"/>
          <w:color w:val="000000" w:themeColor="text1"/>
          <w:sz w:val="19"/>
          <w:szCs w:val="19"/>
        </w:rPr>
        <w:t>,</w:t>
      </w:r>
      <w:r>
        <w:rPr>
          <w:rFonts w:ascii="Arial" w:hAnsi="Arial"/>
          <w:color w:val="000000" w:themeColor="text1"/>
          <w:sz w:val="19"/>
          <w:szCs w:val="19"/>
        </w:rPr>
        <w:t xml:space="preserve"> малым предприятиям необходимо будет увеличить отпускную цену на 56 %</w:t>
      </w:r>
      <w:r w:rsidR="00983342">
        <w:rPr>
          <w:rFonts w:ascii="Arial" w:hAnsi="Arial"/>
          <w:color w:val="000000" w:themeColor="text1"/>
          <w:sz w:val="19"/>
          <w:szCs w:val="19"/>
        </w:rPr>
        <w:t>,</w:t>
      </w:r>
      <w:r>
        <w:rPr>
          <w:rFonts w:ascii="Arial" w:hAnsi="Arial"/>
          <w:color w:val="000000" w:themeColor="text1"/>
          <w:sz w:val="19"/>
          <w:szCs w:val="19"/>
        </w:rPr>
        <w:t xml:space="preserve"> и в этом случае цена товара станет неконкурентоспособной.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  <w:t xml:space="preserve">Отмена </w:t>
      </w:r>
      <w:r>
        <w:rPr>
          <w:rFonts w:ascii="Arial" w:hAnsi="Arial"/>
          <w:color w:val="000000" w:themeColor="text1"/>
          <w:sz w:val="19"/>
          <w:szCs w:val="19"/>
          <w:highlight w:val="white"/>
        </w:rPr>
        <w:t xml:space="preserve">специальных налоговых режимов в ювелирной отрасли </w:t>
      </w:r>
      <w:r>
        <w:rPr>
          <w:rFonts w:ascii="Arial" w:hAnsi="Arial"/>
          <w:color w:val="000000" w:themeColor="text1"/>
          <w:sz w:val="19"/>
          <w:szCs w:val="19"/>
        </w:rPr>
        <w:t xml:space="preserve">принесет значительные потери малому и </w:t>
      </w:r>
      <w:proofErr w:type="spellStart"/>
      <w:r>
        <w:rPr>
          <w:rFonts w:ascii="Arial" w:hAnsi="Arial"/>
          <w:color w:val="000000" w:themeColor="text1"/>
          <w:sz w:val="19"/>
          <w:szCs w:val="19"/>
        </w:rPr>
        <w:t>микробизнесу</w:t>
      </w:r>
      <w:proofErr w:type="spellEnd"/>
      <w:r>
        <w:rPr>
          <w:rFonts w:ascii="Arial" w:hAnsi="Arial"/>
          <w:color w:val="000000" w:themeColor="text1"/>
          <w:sz w:val="19"/>
          <w:szCs w:val="19"/>
        </w:rPr>
        <w:t xml:space="preserve">, приведет к появлению серого и черного рынков, к глобальным социальным последствиям. Сокращение малого бизнеса, а фактически его полная ликвидация, приведет к олигополии ювелирного бизнеса с доминирующим положением не более 20 крупных игроков. </w:t>
      </w:r>
    </w:p>
    <w:p w:rsidR="00BF2110" w:rsidRDefault="00C46622">
      <w:pPr>
        <w:spacing w:beforeAutospacing="1" w:afterAutospacing="1" w:line="276" w:lineRule="auto"/>
        <w:contextualSpacing/>
        <w:jc w:val="both"/>
      </w:pPr>
      <w:r>
        <w:rPr>
          <w:rFonts w:ascii="Arial" w:hAnsi="Arial"/>
          <w:color w:val="000000" w:themeColor="text1"/>
          <w:sz w:val="19"/>
          <w:szCs w:val="19"/>
          <w:highlight w:val="white"/>
        </w:rPr>
        <w:tab/>
      </w:r>
      <w:proofErr w:type="gramStart"/>
      <w:r>
        <w:rPr>
          <w:rFonts w:ascii="Arial" w:hAnsi="Arial"/>
          <w:color w:val="000000" w:themeColor="text1"/>
          <w:sz w:val="19"/>
          <w:szCs w:val="19"/>
          <w:highlight w:val="white"/>
        </w:rPr>
        <w:t xml:space="preserve">Кроме того, Федеральным законом от 23.06.2020 г. № 188-ФЗ «О внесении изменений в Федеральный закон «О драгоценных металлах и драгоценных камнях» предусмотрено создание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(далее - ГИИС ДМДК), что позволит государству обеспечить полную </w:t>
      </w:r>
      <w:proofErr w:type="spellStart"/>
      <w:r>
        <w:rPr>
          <w:rFonts w:ascii="Arial" w:hAnsi="Arial"/>
          <w:color w:val="000000" w:themeColor="text1"/>
          <w:sz w:val="19"/>
          <w:szCs w:val="19"/>
          <w:highlight w:val="white"/>
        </w:rPr>
        <w:t>прослеживаемость</w:t>
      </w:r>
      <w:proofErr w:type="spellEnd"/>
      <w:r>
        <w:rPr>
          <w:rFonts w:ascii="Arial" w:hAnsi="Arial"/>
          <w:color w:val="000000" w:themeColor="text1"/>
          <w:sz w:val="19"/>
          <w:szCs w:val="19"/>
          <w:highlight w:val="white"/>
        </w:rPr>
        <w:t xml:space="preserve"> ювелирных изделий, продукции и сырья, содержащих ДМДК</w:t>
      </w:r>
      <w:proofErr w:type="gramEnd"/>
      <w:r>
        <w:rPr>
          <w:rFonts w:ascii="Arial" w:hAnsi="Arial"/>
          <w:color w:val="000000" w:themeColor="text1"/>
          <w:sz w:val="19"/>
          <w:szCs w:val="19"/>
          <w:highlight w:val="white"/>
        </w:rPr>
        <w:t>, на всех этапах оборота уже с 1 сентября 2022 года.</w:t>
      </w:r>
    </w:p>
    <w:p w:rsidR="00BF2110" w:rsidRDefault="00C46622">
      <w:pPr>
        <w:spacing w:beforeAutospacing="1" w:afterAutospacing="1" w:line="276" w:lineRule="auto"/>
        <w:contextualSpacing/>
        <w:jc w:val="both"/>
      </w:pPr>
      <w:r>
        <w:rPr>
          <w:rStyle w:val="ae"/>
          <w:rFonts w:ascii="Arial" w:hAnsi="Arial"/>
          <w:color w:val="000000" w:themeColor="text1"/>
          <w:sz w:val="19"/>
          <w:szCs w:val="19"/>
          <w:highlight w:val="white"/>
        </w:rPr>
        <w:tab/>
      </w:r>
      <w:r>
        <w:rPr>
          <w:rStyle w:val="ae"/>
          <w:rFonts w:ascii="Arial" w:hAnsi="Arial"/>
          <w:b w:val="0"/>
          <w:bCs w:val="0"/>
          <w:color w:val="000000" w:themeColor="text1"/>
          <w:sz w:val="19"/>
          <w:szCs w:val="19"/>
          <w:highlight w:val="white"/>
        </w:rPr>
        <w:t xml:space="preserve">В настоящее время ГИИС ДМДК </w:t>
      </w:r>
      <w:proofErr w:type="gramStart"/>
      <w:r>
        <w:rPr>
          <w:rStyle w:val="ae"/>
          <w:rFonts w:ascii="Arial" w:hAnsi="Arial"/>
          <w:b w:val="0"/>
          <w:bCs w:val="0"/>
          <w:color w:val="000000" w:themeColor="text1"/>
          <w:sz w:val="19"/>
          <w:szCs w:val="19"/>
          <w:highlight w:val="white"/>
        </w:rPr>
        <w:t>недоработ</w:t>
      </w:r>
      <w:r w:rsidR="00664231">
        <w:rPr>
          <w:rStyle w:val="ae"/>
          <w:rFonts w:ascii="Arial" w:hAnsi="Arial"/>
          <w:b w:val="0"/>
          <w:bCs w:val="0"/>
          <w:color w:val="000000" w:themeColor="text1"/>
          <w:sz w:val="19"/>
          <w:szCs w:val="19"/>
          <w:highlight w:val="white"/>
        </w:rPr>
        <w:t>ана</w:t>
      </w:r>
      <w:proofErr w:type="gramEnd"/>
      <w:r>
        <w:rPr>
          <w:rStyle w:val="ae"/>
          <w:rFonts w:ascii="Arial" w:hAnsi="Arial"/>
          <w:b w:val="0"/>
          <w:bCs w:val="0"/>
          <w:color w:val="000000" w:themeColor="text1"/>
          <w:sz w:val="19"/>
          <w:szCs w:val="19"/>
          <w:highlight w:val="white"/>
        </w:rPr>
        <w:t xml:space="preserve"> как концептуально, так и технически, что в совокупности с нестабильной работой системы  создает значительные трудности для малого бизнеса в ювелирной отрасли.</w:t>
      </w:r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</w:r>
      <w:proofErr w:type="gramStart"/>
      <w:r>
        <w:rPr>
          <w:rFonts w:ascii="Arial" w:hAnsi="Arial"/>
          <w:color w:val="000000" w:themeColor="text1"/>
          <w:sz w:val="19"/>
          <w:szCs w:val="19"/>
        </w:rPr>
        <w:t xml:space="preserve">На фоне внедрения ГИИС ДМДК и установления полного контроля за рынком драгоценных металлов и драгоценных камней, новые поправки в налоговое законодательство, предусматривающие отмену налоговых </w:t>
      </w:r>
      <w:proofErr w:type="spellStart"/>
      <w:r>
        <w:rPr>
          <w:rFonts w:ascii="Arial" w:hAnsi="Arial"/>
          <w:color w:val="000000" w:themeColor="text1"/>
          <w:sz w:val="19"/>
          <w:szCs w:val="19"/>
        </w:rPr>
        <w:t>спецрежимов</w:t>
      </w:r>
      <w:proofErr w:type="spellEnd"/>
      <w:r>
        <w:rPr>
          <w:rFonts w:ascii="Arial" w:hAnsi="Arial"/>
          <w:color w:val="000000" w:themeColor="text1"/>
          <w:sz w:val="19"/>
          <w:szCs w:val="19"/>
        </w:rPr>
        <w:t xml:space="preserve"> для микро</w:t>
      </w:r>
      <w:r w:rsidR="00BA3BB6">
        <w:rPr>
          <w:rFonts w:ascii="Arial" w:hAnsi="Arial"/>
          <w:color w:val="000000" w:themeColor="text1"/>
          <w:sz w:val="19"/>
          <w:szCs w:val="19"/>
        </w:rPr>
        <w:t>-</w:t>
      </w:r>
      <w:r>
        <w:rPr>
          <w:rFonts w:ascii="Arial" w:hAnsi="Arial"/>
          <w:color w:val="000000" w:themeColor="text1"/>
          <w:sz w:val="19"/>
          <w:szCs w:val="19"/>
        </w:rPr>
        <w:t>, малого и среднего бизнеса в ювелирного отрасли с 01.01.2023 г., окажут самое губительное влияние на субъекты малого и среднего предпринимательства.</w:t>
      </w:r>
      <w:proofErr w:type="gramEnd"/>
    </w:p>
    <w:p w:rsidR="00BF2110" w:rsidRDefault="00C46622">
      <w:pPr>
        <w:spacing w:beforeAutospacing="1" w:afterAutospacing="1" w:line="276" w:lineRule="auto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color w:val="000000" w:themeColor="text1"/>
          <w:sz w:val="19"/>
          <w:szCs w:val="19"/>
        </w:rPr>
        <w:tab/>
      </w:r>
      <w:proofErr w:type="gramStart"/>
      <w:r>
        <w:rPr>
          <w:rFonts w:ascii="Arial" w:hAnsi="Arial"/>
          <w:color w:val="000000" w:themeColor="text1"/>
          <w:sz w:val="19"/>
          <w:szCs w:val="19"/>
        </w:rPr>
        <w:t>Сейчас, в условиях волны экономических санкций, все силы руководства страны направлены на стабилизацию экономической обстановки, недопущение обнищания населения, Правительство Российской Федерации реализует новые меры поддержки предпринимателей нашей страны, а Президент дает указание уменьшить давление на бизнес.</w:t>
      </w:r>
      <w:proofErr w:type="gramEnd"/>
      <w:r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gramStart"/>
      <w:r>
        <w:rPr>
          <w:rFonts w:ascii="Arial" w:hAnsi="Arial"/>
          <w:color w:val="000000" w:themeColor="text1"/>
          <w:sz w:val="19"/>
          <w:szCs w:val="19"/>
        </w:rPr>
        <w:t xml:space="preserve">И в это же время большая часть предприятий ювелирного рынка будет на грани закрытия не по причине небывалого </w:t>
      </w:r>
      <w:proofErr w:type="spellStart"/>
      <w:r>
        <w:rPr>
          <w:rFonts w:ascii="Arial" w:hAnsi="Arial"/>
          <w:color w:val="000000" w:themeColor="text1"/>
          <w:sz w:val="19"/>
          <w:szCs w:val="19"/>
        </w:rPr>
        <w:t>санкционного</w:t>
      </w:r>
      <w:proofErr w:type="spellEnd"/>
      <w:r>
        <w:rPr>
          <w:rFonts w:ascii="Arial" w:hAnsi="Arial"/>
          <w:color w:val="000000" w:themeColor="text1"/>
          <w:sz w:val="19"/>
          <w:szCs w:val="19"/>
        </w:rPr>
        <w:t xml:space="preserve"> давления на предприятия, не из-за рекордно возросших цен на драгоценные металлы, труднодоступных кредитных средств на поддержку производства, а исключительно по причине принятых российским законодательством поправок в Налоговый кодекс, отменяющих возможность применения специальных налоговых режимов для предприятий отрасли.</w:t>
      </w:r>
      <w:proofErr w:type="gramEnd"/>
    </w:p>
    <w:p w:rsidR="00BF2110" w:rsidRDefault="00C46622">
      <w:pPr>
        <w:spacing w:beforeAutospacing="1" w:afterAutospacing="1" w:line="276" w:lineRule="auto"/>
        <w:ind w:firstLine="708"/>
        <w:contextualSpacing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i/>
          <w:sz w:val="19"/>
          <w:szCs w:val="19"/>
        </w:rPr>
        <w:t>Мы надеемся, что</w:t>
      </w:r>
      <w:r w:rsidR="001270EC">
        <w:rPr>
          <w:rFonts w:ascii="Arial" w:hAnsi="Arial"/>
          <w:b/>
          <w:i/>
          <w:sz w:val="19"/>
          <w:szCs w:val="19"/>
        </w:rPr>
        <w:t xml:space="preserve"> в столь тяжелое для всех время</w:t>
      </w:r>
      <w:r>
        <w:rPr>
          <w:rFonts w:ascii="Arial" w:hAnsi="Arial"/>
          <w:b/>
          <w:i/>
          <w:sz w:val="19"/>
          <w:szCs w:val="19"/>
        </w:rPr>
        <w:t xml:space="preserve"> Вы </w:t>
      </w:r>
      <w:r>
        <w:rPr>
          <w:rFonts w:ascii="Arial" w:hAnsi="Arial"/>
          <w:b/>
          <w:i/>
          <w:color w:val="000000" w:themeColor="text1"/>
          <w:sz w:val="19"/>
          <w:szCs w:val="19"/>
        </w:rPr>
        <w:t>сохраните основу отрасли и поддержите субъект</w:t>
      </w:r>
      <w:r w:rsidR="00983342">
        <w:rPr>
          <w:rFonts w:ascii="Arial" w:hAnsi="Arial"/>
          <w:b/>
          <w:i/>
          <w:color w:val="000000" w:themeColor="text1"/>
          <w:sz w:val="19"/>
          <w:szCs w:val="19"/>
        </w:rPr>
        <w:t>ы</w:t>
      </w:r>
      <w:r>
        <w:rPr>
          <w:rFonts w:ascii="Arial" w:hAnsi="Arial"/>
          <w:b/>
          <w:i/>
          <w:color w:val="000000" w:themeColor="text1"/>
          <w:sz w:val="19"/>
          <w:szCs w:val="19"/>
        </w:rPr>
        <w:t xml:space="preserve"> малого и среднего предпринимательства в части дальнейшего применения ими специальных налоговых режимов. </w:t>
      </w:r>
    </w:p>
    <w:p w:rsidR="00BF2110" w:rsidRDefault="00BF2110">
      <w:pPr>
        <w:spacing w:beforeAutospacing="1" w:afterAutospacing="1" w:line="276" w:lineRule="auto"/>
        <w:ind w:firstLine="708"/>
        <w:contextualSpacing/>
        <w:jc w:val="both"/>
        <w:rPr>
          <w:b/>
          <w:i/>
          <w:color w:val="000000" w:themeColor="text1"/>
        </w:rPr>
      </w:pPr>
    </w:p>
    <w:p w:rsidR="00BF2110" w:rsidRDefault="00C46622">
      <w:pPr>
        <w:spacing w:beforeAutospacing="1" w:afterAutospacing="1" w:line="276" w:lineRule="auto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i/>
          <w:color w:val="000000" w:themeColor="text1"/>
          <w:sz w:val="26"/>
          <w:szCs w:val="26"/>
        </w:rPr>
        <w:t>ФИО_________________________________________________________________</w:t>
      </w:r>
      <w:r>
        <w:rPr>
          <w:rFonts w:ascii="Arial" w:hAnsi="Arial"/>
          <w:i/>
          <w:color w:val="000000" w:themeColor="text1"/>
          <w:sz w:val="26"/>
          <w:szCs w:val="26"/>
        </w:rPr>
        <w:br/>
        <w:t>Должность___________________________________________________________</w:t>
      </w:r>
      <w:r>
        <w:rPr>
          <w:rFonts w:ascii="Arial" w:hAnsi="Arial"/>
          <w:i/>
          <w:color w:val="000000" w:themeColor="text1"/>
          <w:sz w:val="26"/>
          <w:szCs w:val="26"/>
        </w:rPr>
        <w:br/>
        <w:t>Наименование организации / ИП ________________________________________</w:t>
      </w:r>
      <w:r>
        <w:rPr>
          <w:rFonts w:ascii="Arial" w:hAnsi="Arial"/>
          <w:i/>
          <w:color w:val="000000" w:themeColor="text1"/>
          <w:sz w:val="26"/>
          <w:szCs w:val="26"/>
        </w:rPr>
        <w:br/>
        <w:t>ИНН________________________ Количество работников __________________</w:t>
      </w:r>
    </w:p>
    <w:p w:rsidR="00BF2110" w:rsidRDefault="00C46622">
      <w:pPr>
        <w:spacing w:beforeAutospacing="1" w:afterAutospacing="1" w:line="276" w:lineRule="auto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i/>
          <w:color w:val="000000" w:themeColor="text1"/>
          <w:sz w:val="26"/>
          <w:szCs w:val="26"/>
        </w:rPr>
        <w:br/>
        <w:t>«_____» марта 2022 г.</w:t>
      </w:r>
      <w:r>
        <w:rPr>
          <w:rFonts w:ascii="Arial" w:hAnsi="Arial"/>
          <w:i/>
          <w:color w:val="000000" w:themeColor="text1"/>
          <w:sz w:val="26"/>
          <w:szCs w:val="26"/>
        </w:rPr>
        <w:tab/>
        <w:t xml:space="preserve">                     </w:t>
      </w:r>
      <w:r>
        <w:rPr>
          <w:rFonts w:ascii="Arial" w:hAnsi="Arial"/>
          <w:i/>
          <w:color w:val="000000" w:themeColor="text1"/>
          <w:sz w:val="26"/>
          <w:szCs w:val="26"/>
        </w:rPr>
        <w:tab/>
      </w:r>
      <w:r>
        <w:rPr>
          <w:rFonts w:ascii="Arial" w:hAnsi="Arial"/>
          <w:i/>
          <w:color w:val="000000" w:themeColor="text1"/>
          <w:sz w:val="26"/>
          <w:szCs w:val="26"/>
        </w:rPr>
        <w:tab/>
      </w:r>
      <w:r>
        <w:rPr>
          <w:rFonts w:ascii="Arial" w:hAnsi="Arial"/>
          <w:i/>
          <w:color w:val="000000" w:themeColor="text1"/>
          <w:sz w:val="26"/>
          <w:szCs w:val="26"/>
        </w:rPr>
        <w:tab/>
        <w:t>______________________</w:t>
      </w:r>
    </w:p>
    <w:p w:rsidR="00BF2110" w:rsidRDefault="00C46622">
      <w:pPr>
        <w:spacing w:beforeAutospacing="1" w:afterAutospacing="1" w:line="276" w:lineRule="auto"/>
        <w:contextualSpacing/>
        <w:jc w:val="right"/>
        <w:rPr>
          <w:rFonts w:ascii="Arial" w:hAnsi="Arial"/>
          <w:sz w:val="20"/>
        </w:rPr>
      </w:pPr>
      <w:r>
        <w:rPr>
          <w:rFonts w:ascii="Arial" w:hAnsi="Arial"/>
          <w:i/>
          <w:iCs/>
          <w:color w:val="000000" w:themeColor="text1"/>
          <w:sz w:val="20"/>
        </w:rPr>
        <w:t xml:space="preserve">подпись     </w:t>
      </w:r>
    </w:p>
    <w:p w:rsidR="00BF2110" w:rsidRDefault="00C46622">
      <w:pPr>
        <w:spacing w:beforeAutospacing="1" w:afterAutospacing="1" w:line="276" w:lineRule="auto"/>
        <w:contextualSpacing/>
        <w:jc w:val="center"/>
      </w:pPr>
      <w:r>
        <w:rPr>
          <w:rFonts w:ascii="Arial" w:hAnsi="Arial"/>
          <w:i/>
          <w:iCs/>
          <w:color w:val="000000" w:themeColor="text1"/>
          <w:sz w:val="20"/>
        </w:rPr>
        <w:t>место печати</w:t>
      </w:r>
    </w:p>
    <w:sectPr w:rsidR="00BF2110">
      <w:headerReference w:type="default" r:id="rId7"/>
      <w:pgSz w:w="11906" w:h="16838"/>
      <w:pgMar w:top="567" w:right="566" w:bottom="567" w:left="884" w:header="0" w:footer="0" w:gutter="0"/>
      <w:cols w:space="720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A0" w:rsidRDefault="009E2FA0">
      <w:pPr>
        <w:spacing w:after="0" w:line="240" w:lineRule="auto"/>
      </w:pPr>
      <w:r>
        <w:separator/>
      </w:r>
    </w:p>
  </w:endnote>
  <w:endnote w:type="continuationSeparator" w:id="0">
    <w:p w:rsidR="009E2FA0" w:rsidRDefault="009E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A0" w:rsidRDefault="009E2FA0">
      <w:pPr>
        <w:spacing w:after="0" w:line="240" w:lineRule="auto"/>
      </w:pPr>
      <w:r>
        <w:separator/>
      </w:r>
    </w:p>
  </w:footnote>
  <w:footnote w:type="continuationSeparator" w:id="0">
    <w:p w:rsidR="009E2FA0" w:rsidRDefault="009E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06710"/>
      <w:docPartObj>
        <w:docPartGallery w:val="Page Numbers (Top of Page)"/>
        <w:docPartUnique/>
      </w:docPartObj>
    </w:sdtPr>
    <w:sdtEndPr/>
    <w:sdtContent>
      <w:p w:rsidR="00BF2110" w:rsidRDefault="00BF2110">
        <w:pPr>
          <w:pStyle w:val="af5"/>
          <w:jc w:val="center"/>
        </w:pPr>
      </w:p>
      <w:p w:rsidR="00BF2110" w:rsidRDefault="00BF2110">
        <w:pPr>
          <w:pStyle w:val="af5"/>
          <w:jc w:val="center"/>
        </w:pPr>
      </w:p>
      <w:p w:rsidR="00BF2110" w:rsidRDefault="00C46622">
        <w:pPr>
          <w:pStyle w:val="af5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1270EC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:rsidR="00BF2110" w:rsidRDefault="00BF211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10"/>
    <w:rsid w:val="001270EC"/>
    <w:rsid w:val="00664231"/>
    <w:rsid w:val="007F3815"/>
    <w:rsid w:val="00983342"/>
    <w:rsid w:val="009E2FA0"/>
    <w:rsid w:val="00AD45E4"/>
    <w:rsid w:val="00BA3BB6"/>
    <w:rsid w:val="00BF2110"/>
    <w:rsid w:val="00C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">
    <w:name w:val="heading 1"/>
    <w:basedOn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Theme="minorHAnsi" w:hAnsiTheme="minorHAnsi"/>
      <w:color w:val="000000"/>
      <w:sz w:val="22"/>
    </w:rPr>
  </w:style>
  <w:style w:type="character" w:customStyle="1" w:styleId="a3">
    <w:name w:val="Абзац списка Знак"/>
    <w:basedOn w:val="10"/>
    <w:qFormat/>
    <w:rPr>
      <w:rFonts w:asciiTheme="minorHAnsi" w:hAnsiTheme="minorHAnsi"/>
      <w:color w:val="000000"/>
      <w:sz w:val="22"/>
    </w:rPr>
  </w:style>
  <w:style w:type="character" w:customStyle="1" w:styleId="30">
    <w:name w:val="Нижний колонтитул Знак3"/>
    <w:qFormat/>
    <w:rPr>
      <w:rFonts w:ascii="XO Thames" w:hAnsi="XO Thames"/>
      <w:sz w:val="28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customStyle="1" w:styleId="31">
    <w:name w:val="Оглавление 3 Знак1"/>
    <w:qFormat/>
    <w:rPr>
      <w:rFonts w:ascii="XO Thames" w:hAnsi="XO Thames"/>
      <w:b/>
      <w:sz w:val="26"/>
    </w:rPr>
  </w:style>
  <w:style w:type="character" w:customStyle="1" w:styleId="a4">
    <w:name w:val="Основной текст Знак"/>
    <w:basedOn w:val="10"/>
    <w:qFormat/>
    <w:rPr>
      <w:rFonts w:asciiTheme="minorHAnsi" w:hAnsiTheme="minorHAnsi"/>
      <w:color w:val="000000"/>
      <w:sz w:val="22"/>
    </w:rPr>
  </w:style>
  <w:style w:type="character" w:customStyle="1" w:styleId="a5">
    <w:name w:val="Список Знак"/>
    <w:basedOn w:val="a4"/>
    <w:qFormat/>
    <w:rPr>
      <w:rFonts w:asciiTheme="minorHAnsi" w:hAnsiTheme="minorHAnsi"/>
      <w:color w:val="000000"/>
      <w:sz w:val="22"/>
    </w:rPr>
  </w:style>
  <w:style w:type="character" w:customStyle="1" w:styleId="a6">
    <w:name w:val="Верхний и нижний колонтитулы"/>
    <w:basedOn w:val="10"/>
    <w:qFormat/>
    <w:rPr>
      <w:rFonts w:asciiTheme="minorHAnsi" w:hAnsiTheme="minorHAnsi"/>
      <w:color w:val="000000"/>
      <w:sz w:val="22"/>
    </w:rPr>
  </w:style>
  <w:style w:type="character" w:customStyle="1" w:styleId="a7">
    <w:name w:val="Надпись Знак"/>
    <w:basedOn w:val="10"/>
    <w:qFormat/>
    <w:rPr>
      <w:rFonts w:asciiTheme="minorHAnsi" w:hAnsiTheme="minorHAnsi"/>
      <w:i/>
      <w:color w:val="000000"/>
      <w:sz w:val="24"/>
    </w:rPr>
  </w:style>
  <w:style w:type="character" w:customStyle="1" w:styleId="a8">
    <w:name w:val="Текст выноски Знак"/>
    <w:basedOn w:val="a0"/>
    <w:qFormat/>
    <w:rPr>
      <w:rFonts w:ascii="Tahoma" w:hAnsi="Tahoma"/>
      <w:sz w:val="16"/>
    </w:rPr>
  </w:style>
  <w:style w:type="character" w:customStyle="1" w:styleId="32">
    <w:name w:val="Оглавление 3 Знак"/>
    <w:link w:val="33"/>
    <w:qFormat/>
    <w:rPr>
      <w:rFonts w:ascii="XO Thames" w:hAnsi="XO Thames"/>
      <w:sz w:val="28"/>
    </w:rPr>
  </w:style>
  <w:style w:type="character" w:customStyle="1" w:styleId="a9">
    <w:name w:val="Заголовок указателя Знак"/>
    <w:basedOn w:val="10"/>
    <w:qFormat/>
    <w:rPr>
      <w:rFonts w:asciiTheme="minorHAnsi" w:hAnsiTheme="minorHAnsi"/>
      <w:color w:val="000000"/>
      <w:sz w:val="22"/>
    </w:rPr>
  </w:style>
  <w:style w:type="character" w:customStyle="1" w:styleId="11">
    <w:name w:val="Нижний колонтитул Знак1"/>
    <w:basedOn w:val="10"/>
    <w:qFormat/>
    <w:rPr>
      <w:rFonts w:asciiTheme="minorHAnsi" w:hAnsiTheme="minorHAnsi"/>
      <w:color w:val="000000"/>
      <w:sz w:val="22"/>
    </w:rPr>
  </w:style>
  <w:style w:type="character" w:customStyle="1" w:styleId="51">
    <w:name w:val="Оглавление 5 Знак1"/>
    <w:link w:val="50"/>
    <w:qFormat/>
    <w:rPr>
      <w:rFonts w:ascii="XO Thames" w:hAnsi="XO Thames"/>
      <w:b/>
      <w:sz w:val="22"/>
    </w:rPr>
  </w:style>
  <w:style w:type="character" w:customStyle="1" w:styleId="20">
    <w:name w:val="Нижний колонтитул Знак2"/>
    <w:link w:val="20"/>
    <w:qFormat/>
    <w:rPr>
      <w:rFonts w:ascii="XO Thames" w:hAnsi="XO Thames"/>
      <w:b/>
      <w:sz w:val="32"/>
    </w:rPr>
  </w:style>
  <w:style w:type="character" w:customStyle="1" w:styleId="western">
    <w:name w:val="western"/>
    <w:basedOn w:val="10"/>
    <w:qFormat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10"/>
    <w:qFormat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aa">
    <w:name w:val="Нижний колонтитул Знак"/>
    <w:basedOn w:val="a0"/>
    <w:qFormat/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13">
    <w:name w:val="Заголовок1"/>
    <w:basedOn w:val="10"/>
    <w:qFormat/>
    <w:rPr>
      <w:rFonts w:ascii="Liberation Sans" w:hAnsi="Liberation Sans"/>
      <w:color w:val="000000"/>
      <w:sz w:val="28"/>
    </w:rPr>
  </w:style>
  <w:style w:type="character" w:customStyle="1" w:styleId="110">
    <w:name w:val="Оглавление 1 Знак1"/>
    <w:basedOn w:val="10"/>
    <w:link w:val="12"/>
    <w:qFormat/>
    <w:rPr>
      <w:rFonts w:asciiTheme="minorHAnsi" w:hAnsiTheme="minorHAnsi"/>
      <w:color w:val="000000"/>
      <w:sz w:val="22"/>
    </w:rPr>
  </w:style>
  <w:style w:type="character" w:customStyle="1" w:styleId="14">
    <w:name w:val="Текст выноски Знак1"/>
    <w:basedOn w:val="10"/>
    <w:qFormat/>
    <w:rPr>
      <w:rFonts w:ascii="Tahoma" w:hAnsi="Tahoma"/>
      <w:color w:val="000000"/>
      <w:sz w:val="16"/>
    </w:rPr>
  </w:style>
  <w:style w:type="character" w:customStyle="1" w:styleId="52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b">
    <w:name w:val="Верхний колонтитул Знак"/>
    <w:basedOn w:val="a0"/>
    <w:qFormat/>
  </w:style>
  <w:style w:type="character" w:customStyle="1" w:styleId="ac">
    <w:name w:val="Подзаголовок Знак"/>
    <w:qFormat/>
    <w:rPr>
      <w:rFonts w:ascii="XO Thames" w:hAnsi="XO Thames"/>
      <w:i/>
      <w:sz w:val="24"/>
    </w:rPr>
  </w:style>
  <w:style w:type="character" w:customStyle="1" w:styleId="ad">
    <w:name w:val="Название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21">
    <w:name w:val="Оглавление 2 Знак1"/>
    <w:basedOn w:val="10"/>
    <w:qFormat/>
    <w:rPr>
      <w:rFonts w:asciiTheme="majorHAnsi" w:hAnsiTheme="majorHAnsi"/>
      <w:color w:val="2F5496" w:themeColor="accent1" w:themeShade="BF"/>
      <w:sz w:val="26"/>
    </w:rPr>
  </w:style>
  <w:style w:type="character" w:customStyle="1" w:styleId="ae">
    <w:name w:val="Выделение жирным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  <w:sz w:val="24"/>
    </w:rPr>
  </w:style>
  <w:style w:type="paragraph" w:styleId="af3">
    <w:name w:val="index heading"/>
    <w:basedOn w:val="a"/>
    <w:qFormat/>
  </w:style>
  <w:style w:type="paragraph" w:styleId="af4">
    <w:name w:val="List Paragraph"/>
    <w:basedOn w:val="a"/>
    <w:qFormat/>
    <w:pPr>
      <w:ind w:left="720"/>
      <w:contextualSpacing/>
    </w:pPr>
  </w:style>
  <w:style w:type="paragraph" w:styleId="22">
    <w:name w:val="toc 2"/>
    <w:aliases w:val="Верхний колонтитул Знак1,Оглавление 2 Знак Знак,Верхний колонтитул Знак1 Знак Знак"/>
    <w:basedOn w:val="a"/>
    <w:link w:val="af5"/>
    <w:uiPriority w:val="39"/>
    <w:pPr>
      <w:ind w:left="200"/>
    </w:pPr>
    <w:rPr>
      <w:rFonts w:ascii="XO Thames" w:hAnsi="XO Thames"/>
      <w:sz w:val="28"/>
    </w:rPr>
  </w:style>
  <w:style w:type="paragraph" w:styleId="42">
    <w:name w:val="toc 4"/>
    <w:basedOn w:val="a"/>
    <w:link w:val="41"/>
    <w:uiPriority w:val="39"/>
    <w:pPr>
      <w:ind w:left="600"/>
    </w:pPr>
    <w:rPr>
      <w:rFonts w:ascii="XO Thames" w:hAnsi="XO Thames"/>
      <w:sz w:val="28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af6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customStyle="1" w:styleId="af7">
    <w:name w:val="Текст выноски Знак"/>
    <w:basedOn w:val="34"/>
    <w:qFormat/>
    <w:rPr>
      <w:rFonts w:ascii="Tahoma" w:hAnsi="Tahoma"/>
      <w:sz w:val="16"/>
    </w:rPr>
  </w:style>
  <w:style w:type="paragraph" w:styleId="33">
    <w:name w:val="toc 3"/>
    <w:basedOn w:val="a"/>
    <w:link w:val="32"/>
    <w:uiPriority w:val="39"/>
    <w:pPr>
      <w:ind w:left="400"/>
    </w:pPr>
    <w:rPr>
      <w:rFonts w:ascii="XO Thames" w:hAnsi="XO Thames"/>
      <w:sz w:val="28"/>
    </w:rPr>
  </w:style>
  <w:style w:type="paragraph" w:styleId="af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4">
    <w:name w:val="Текст выноски Знак3"/>
    <w:link w:val="af9"/>
    <w:qFormat/>
  </w:style>
  <w:style w:type="paragraph" w:customStyle="1" w:styleId="western0">
    <w:name w:val="western"/>
    <w:basedOn w:val="a"/>
    <w:qFormat/>
    <w:pPr>
      <w:spacing w:beforeAutospacing="1" w:after="142" w:line="276" w:lineRule="auto"/>
    </w:pPr>
    <w:rPr>
      <w:rFonts w:ascii="Times New Roman" w:hAnsi="Times New Roman"/>
      <w:sz w:val="24"/>
    </w:rPr>
  </w:style>
  <w:style w:type="paragraph" w:customStyle="1" w:styleId="23">
    <w:name w:val="Текст выноски Знак2"/>
    <w:qFormat/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5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afa">
    <w:name w:val="Нижний колонтитул Знак"/>
    <w:basedOn w:val="34"/>
    <w:qFormat/>
  </w:style>
  <w:style w:type="paragraph" w:styleId="90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styleId="80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styleId="afb">
    <w:name w:val="Title"/>
    <w:basedOn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5">
    <w:name w:val="header"/>
    <w:aliases w:val="Оглавление 2 Знак,Верхний колонтитул Знак1 Знак,Оглавление 2 Знак Знак Знак,Верхний колонтитул Знак1 Знак Знак Знак"/>
    <w:basedOn w:val="a"/>
    <w:link w:val="22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Balloon Text"/>
    <w:basedOn w:val="a"/>
    <w:link w:val="34"/>
    <w:qFormat/>
    <w:pPr>
      <w:spacing w:after="0" w:line="240" w:lineRule="auto"/>
    </w:pPr>
    <w:rPr>
      <w:rFonts w:ascii="Tahoma" w:hAnsi="Tahoma"/>
      <w:sz w:val="16"/>
    </w:rPr>
  </w:style>
  <w:style w:type="paragraph" w:styleId="50">
    <w:name w:val="toc 5"/>
    <w:basedOn w:val="a"/>
    <w:link w:val="51"/>
    <w:uiPriority w:val="39"/>
    <w:pPr>
      <w:ind w:left="800"/>
    </w:pPr>
    <w:rPr>
      <w:rFonts w:ascii="XO Thames" w:hAnsi="XO Thames"/>
      <w:sz w:val="28"/>
    </w:rPr>
  </w:style>
  <w:style w:type="paragraph" w:customStyle="1" w:styleId="afc">
    <w:name w:val="Верхний колонтитул Знак"/>
    <w:basedOn w:val="34"/>
    <w:qFormat/>
  </w:style>
  <w:style w:type="paragraph" w:styleId="afd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">
    <w:name w:val="heading 1"/>
    <w:basedOn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Theme="minorHAnsi" w:hAnsiTheme="minorHAnsi"/>
      <w:color w:val="000000"/>
      <w:sz w:val="22"/>
    </w:rPr>
  </w:style>
  <w:style w:type="character" w:customStyle="1" w:styleId="a3">
    <w:name w:val="Абзац списка Знак"/>
    <w:basedOn w:val="10"/>
    <w:qFormat/>
    <w:rPr>
      <w:rFonts w:asciiTheme="minorHAnsi" w:hAnsiTheme="minorHAnsi"/>
      <w:color w:val="000000"/>
      <w:sz w:val="22"/>
    </w:rPr>
  </w:style>
  <w:style w:type="character" w:customStyle="1" w:styleId="30">
    <w:name w:val="Нижний колонтитул Знак3"/>
    <w:qFormat/>
    <w:rPr>
      <w:rFonts w:ascii="XO Thames" w:hAnsi="XO Thames"/>
      <w:sz w:val="28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customStyle="1" w:styleId="31">
    <w:name w:val="Оглавление 3 Знак1"/>
    <w:qFormat/>
    <w:rPr>
      <w:rFonts w:ascii="XO Thames" w:hAnsi="XO Thames"/>
      <w:b/>
      <w:sz w:val="26"/>
    </w:rPr>
  </w:style>
  <w:style w:type="character" w:customStyle="1" w:styleId="a4">
    <w:name w:val="Основной текст Знак"/>
    <w:basedOn w:val="10"/>
    <w:qFormat/>
    <w:rPr>
      <w:rFonts w:asciiTheme="minorHAnsi" w:hAnsiTheme="minorHAnsi"/>
      <w:color w:val="000000"/>
      <w:sz w:val="22"/>
    </w:rPr>
  </w:style>
  <w:style w:type="character" w:customStyle="1" w:styleId="a5">
    <w:name w:val="Список Знак"/>
    <w:basedOn w:val="a4"/>
    <w:qFormat/>
    <w:rPr>
      <w:rFonts w:asciiTheme="minorHAnsi" w:hAnsiTheme="minorHAnsi"/>
      <w:color w:val="000000"/>
      <w:sz w:val="22"/>
    </w:rPr>
  </w:style>
  <w:style w:type="character" w:customStyle="1" w:styleId="a6">
    <w:name w:val="Верхний и нижний колонтитулы"/>
    <w:basedOn w:val="10"/>
    <w:qFormat/>
    <w:rPr>
      <w:rFonts w:asciiTheme="minorHAnsi" w:hAnsiTheme="minorHAnsi"/>
      <w:color w:val="000000"/>
      <w:sz w:val="22"/>
    </w:rPr>
  </w:style>
  <w:style w:type="character" w:customStyle="1" w:styleId="a7">
    <w:name w:val="Надпись Знак"/>
    <w:basedOn w:val="10"/>
    <w:qFormat/>
    <w:rPr>
      <w:rFonts w:asciiTheme="minorHAnsi" w:hAnsiTheme="minorHAnsi"/>
      <w:i/>
      <w:color w:val="000000"/>
      <w:sz w:val="24"/>
    </w:rPr>
  </w:style>
  <w:style w:type="character" w:customStyle="1" w:styleId="a8">
    <w:name w:val="Текст выноски Знак"/>
    <w:basedOn w:val="a0"/>
    <w:qFormat/>
    <w:rPr>
      <w:rFonts w:ascii="Tahoma" w:hAnsi="Tahoma"/>
      <w:sz w:val="16"/>
    </w:rPr>
  </w:style>
  <w:style w:type="character" w:customStyle="1" w:styleId="32">
    <w:name w:val="Оглавление 3 Знак"/>
    <w:link w:val="33"/>
    <w:qFormat/>
    <w:rPr>
      <w:rFonts w:ascii="XO Thames" w:hAnsi="XO Thames"/>
      <w:sz w:val="28"/>
    </w:rPr>
  </w:style>
  <w:style w:type="character" w:customStyle="1" w:styleId="a9">
    <w:name w:val="Заголовок указателя Знак"/>
    <w:basedOn w:val="10"/>
    <w:qFormat/>
    <w:rPr>
      <w:rFonts w:asciiTheme="minorHAnsi" w:hAnsiTheme="minorHAnsi"/>
      <w:color w:val="000000"/>
      <w:sz w:val="22"/>
    </w:rPr>
  </w:style>
  <w:style w:type="character" w:customStyle="1" w:styleId="11">
    <w:name w:val="Нижний колонтитул Знак1"/>
    <w:basedOn w:val="10"/>
    <w:qFormat/>
    <w:rPr>
      <w:rFonts w:asciiTheme="minorHAnsi" w:hAnsiTheme="minorHAnsi"/>
      <w:color w:val="000000"/>
      <w:sz w:val="22"/>
    </w:rPr>
  </w:style>
  <w:style w:type="character" w:customStyle="1" w:styleId="51">
    <w:name w:val="Оглавление 5 Знак1"/>
    <w:link w:val="50"/>
    <w:qFormat/>
    <w:rPr>
      <w:rFonts w:ascii="XO Thames" w:hAnsi="XO Thames"/>
      <w:b/>
      <w:sz w:val="22"/>
    </w:rPr>
  </w:style>
  <w:style w:type="character" w:customStyle="1" w:styleId="20">
    <w:name w:val="Нижний колонтитул Знак2"/>
    <w:link w:val="20"/>
    <w:qFormat/>
    <w:rPr>
      <w:rFonts w:ascii="XO Thames" w:hAnsi="XO Thames"/>
      <w:b/>
      <w:sz w:val="32"/>
    </w:rPr>
  </w:style>
  <w:style w:type="character" w:customStyle="1" w:styleId="western">
    <w:name w:val="western"/>
    <w:basedOn w:val="10"/>
    <w:qFormat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10"/>
    <w:qFormat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aa">
    <w:name w:val="Нижний колонтитул Знак"/>
    <w:basedOn w:val="a0"/>
    <w:qFormat/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13">
    <w:name w:val="Заголовок1"/>
    <w:basedOn w:val="10"/>
    <w:qFormat/>
    <w:rPr>
      <w:rFonts w:ascii="Liberation Sans" w:hAnsi="Liberation Sans"/>
      <w:color w:val="000000"/>
      <w:sz w:val="28"/>
    </w:rPr>
  </w:style>
  <w:style w:type="character" w:customStyle="1" w:styleId="110">
    <w:name w:val="Оглавление 1 Знак1"/>
    <w:basedOn w:val="10"/>
    <w:link w:val="12"/>
    <w:qFormat/>
    <w:rPr>
      <w:rFonts w:asciiTheme="minorHAnsi" w:hAnsiTheme="minorHAnsi"/>
      <w:color w:val="000000"/>
      <w:sz w:val="22"/>
    </w:rPr>
  </w:style>
  <w:style w:type="character" w:customStyle="1" w:styleId="14">
    <w:name w:val="Текст выноски Знак1"/>
    <w:basedOn w:val="10"/>
    <w:qFormat/>
    <w:rPr>
      <w:rFonts w:ascii="Tahoma" w:hAnsi="Tahoma"/>
      <w:color w:val="000000"/>
      <w:sz w:val="16"/>
    </w:rPr>
  </w:style>
  <w:style w:type="character" w:customStyle="1" w:styleId="52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b">
    <w:name w:val="Верхний колонтитул Знак"/>
    <w:basedOn w:val="a0"/>
    <w:qFormat/>
  </w:style>
  <w:style w:type="character" w:customStyle="1" w:styleId="ac">
    <w:name w:val="Подзаголовок Знак"/>
    <w:qFormat/>
    <w:rPr>
      <w:rFonts w:ascii="XO Thames" w:hAnsi="XO Thames"/>
      <w:i/>
      <w:sz w:val="24"/>
    </w:rPr>
  </w:style>
  <w:style w:type="character" w:customStyle="1" w:styleId="ad">
    <w:name w:val="Название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21">
    <w:name w:val="Оглавление 2 Знак1"/>
    <w:basedOn w:val="10"/>
    <w:qFormat/>
    <w:rPr>
      <w:rFonts w:asciiTheme="majorHAnsi" w:hAnsiTheme="majorHAnsi"/>
      <w:color w:val="2F5496" w:themeColor="accent1" w:themeShade="BF"/>
      <w:sz w:val="26"/>
    </w:rPr>
  </w:style>
  <w:style w:type="character" w:customStyle="1" w:styleId="ae">
    <w:name w:val="Выделение жирным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  <w:sz w:val="24"/>
    </w:rPr>
  </w:style>
  <w:style w:type="paragraph" w:styleId="af3">
    <w:name w:val="index heading"/>
    <w:basedOn w:val="a"/>
    <w:qFormat/>
  </w:style>
  <w:style w:type="paragraph" w:styleId="af4">
    <w:name w:val="List Paragraph"/>
    <w:basedOn w:val="a"/>
    <w:qFormat/>
    <w:pPr>
      <w:ind w:left="720"/>
      <w:contextualSpacing/>
    </w:pPr>
  </w:style>
  <w:style w:type="paragraph" w:styleId="22">
    <w:name w:val="toc 2"/>
    <w:aliases w:val="Верхний колонтитул Знак1,Оглавление 2 Знак Знак,Верхний колонтитул Знак1 Знак Знак"/>
    <w:basedOn w:val="a"/>
    <w:link w:val="af5"/>
    <w:uiPriority w:val="39"/>
    <w:pPr>
      <w:ind w:left="200"/>
    </w:pPr>
    <w:rPr>
      <w:rFonts w:ascii="XO Thames" w:hAnsi="XO Thames"/>
      <w:sz w:val="28"/>
    </w:rPr>
  </w:style>
  <w:style w:type="paragraph" w:styleId="42">
    <w:name w:val="toc 4"/>
    <w:basedOn w:val="a"/>
    <w:link w:val="41"/>
    <w:uiPriority w:val="39"/>
    <w:pPr>
      <w:ind w:left="600"/>
    </w:pPr>
    <w:rPr>
      <w:rFonts w:ascii="XO Thames" w:hAnsi="XO Thames"/>
      <w:sz w:val="28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af6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customStyle="1" w:styleId="af7">
    <w:name w:val="Текст выноски Знак"/>
    <w:basedOn w:val="34"/>
    <w:qFormat/>
    <w:rPr>
      <w:rFonts w:ascii="Tahoma" w:hAnsi="Tahoma"/>
      <w:sz w:val="16"/>
    </w:rPr>
  </w:style>
  <w:style w:type="paragraph" w:styleId="33">
    <w:name w:val="toc 3"/>
    <w:basedOn w:val="a"/>
    <w:link w:val="32"/>
    <w:uiPriority w:val="39"/>
    <w:pPr>
      <w:ind w:left="400"/>
    </w:pPr>
    <w:rPr>
      <w:rFonts w:ascii="XO Thames" w:hAnsi="XO Thames"/>
      <w:sz w:val="28"/>
    </w:rPr>
  </w:style>
  <w:style w:type="paragraph" w:styleId="af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4">
    <w:name w:val="Текст выноски Знак3"/>
    <w:link w:val="af9"/>
    <w:qFormat/>
  </w:style>
  <w:style w:type="paragraph" w:customStyle="1" w:styleId="western0">
    <w:name w:val="western"/>
    <w:basedOn w:val="a"/>
    <w:qFormat/>
    <w:pPr>
      <w:spacing w:beforeAutospacing="1" w:after="142" w:line="276" w:lineRule="auto"/>
    </w:pPr>
    <w:rPr>
      <w:rFonts w:ascii="Times New Roman" w:hAnsi="Times New Roman"/>
      <w:sz w:val="24"/>
    </w:rPr>
  </w:style>
  <w:style w:type="paragraph" w:customStyle="1" w:styleId="23">
    <w:name w:val="Текст выноски Знак2"/>
    <w:qFormat/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5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afa">
    <w:name w:val="Нижний колонтитул Знак"/>
    <w:basedOn w:val="34"/>
    <w:qFormat/>
  </w:style>
  <w:style w:type="paragraph" w:styleId="90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styleId="80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styleId="afb">
    <w:name w:val="Title"/>
    <w:basedOn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5">
    <w:name w:val="header"/>
    <w:aliases w:val="Оглавление 2 Знак,Верхний колонтитул Знак1 Знак,Оглавление 2 Знак Знак Знак,Верхний колонтитул Знак1 Знак Знак Знак"/>
    <w:basedOn w:val="a"/>
    <w:link w:val="22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Balloon Text"/>
    <w:basedOn w:val="a"/>
    <w:link w:val="34"/>
    <w:qFormat/>
    <w:pPr>
      <w:spacing w:after="0" w:line="240" w:lineRule="auto"/>
    </w:pPr>
    <w:rPr>
      <w:rFonts w:ascii="Tahoma" w:hAnsi="Tahoma"/>
      <w:sz w:val="16"/>
    </w:rPr>
  </w:style>
  <w:style w:type="paragraph" w:styleId="50">
    <w:name w:val="toc 5"/>
    <w:basedOn w:val="a"/>
    <w:link w:val="51"/>
    <w:uiPriority w:val="39"/>
    <w:pPr>
      <w:ind w:left="800"/>
    </w:pPr>
    <w:rPr>
      <w:rFonts w:ascii="XO Thames" w:hAnsi="XO Thames"/>
      <w:sz w:val="28"/>
    </w:rPr>
  </w:style>
  <w:style w:type="paragraph" w:customStyle="1" w:styleId="afc">
    <w:name w:val="Верхний колонтитул Знак"/>
    <w:basedOn w:val="34"/>
    <w:qFormat/>
  </w:style>
  <w:style w:type="paragraph" w:styleId="afd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ИРИНА АЛЕКСАНДРОВНА</dc:creator>
  <dc:description/>
  <cp:lastModifiedBy>asspc3</cp:lastModifiedBy>
  <cp:revision>14</cp:revision>
  <cp:lastPrinted>2022-03-17T15:24:00Z</cp:lastPrinted>
  <dcterms:created xsi:type="dcterms:W3CDTF">2022-03-23T05:54:00Z</dcterms:created>
  <dcterms:modified xsi:type="dcterms:W3CDTF">2022-03-23T23:52:00Z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